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A745A" w:rsidRPr="006A745A" w:rsidTr="0028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bookmarkStart w:id="0" w:name="_GoBack"/>
            <w:bookmarkEnd w:id="0"/>
            <w:r w:rsidRPr="006A745A">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583C48" w:rsidRPr="006A745A" w:rsidRDefault="00583C48" w:rsidP="002844E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6В02101 Дизайн</w:t>
            </w:r>
          </w:p>
        </w:tc>
      </w:tr>
      <w:tr w:rsidR="006A745A" w:rsidRPr="002844EA" w:rsidTr="002844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583C48" w:rsidRPr="006A745A" w:rsidRDefault="002844EA"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2844EA">
              <w:rPr>
                <w:rFonts w:ascii="Times New Roman" w:eastAsia="Times New Roman" w:hAnsi="Times New Roman" w:cs="Times New Roman"/>
                <w:sz w:val="24"/>
                <w:szCs w:val="24"/>
                <w:lang w:val="kk-KZ" w:eastAsia="ru-RU"/>
              </w:rPr>
              <w:t>Дизайн саласында іргелі пәндік білімдерге және дизайнердің кәсіби қызметінің жалпы интегралдық әдіснамасына қол жеткізу үшін практикаға бағытталған жоғары кәсіби кадрларды даярлау, шығармашылық қасиеттерді және өзін-өзі білім беру қызметіне қажеттерді дамыту</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БББ түрі</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Қолданыстағы </w:t>
            </w:r>
            <w:r w:rsidR="002844EA">
              <w:rPr>
                <w:rFonts w:ascii="Times New Roman" w:eastAsia="Times New Roman" w:hAnsi="Times New Roman" w:cs="Times New Roman"/>
                <w:sz w:val="24"/>
                <w:szCs w:val="24"/>
                <w:lang w:val="kk-KZ" w:eastAsia="ru-RU"/>
              </w:rPr>
              <w:t xml:space="preserve">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ҰБШ бойынша деңгей</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СБШ бойынша деңгей</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Жоқ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Берілетін академиялық дәреже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Бакалавр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Оқыту мерзімі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5</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Кредиттердің көлемі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300</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Оқыту тілі</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Орыс, қазақ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6A745A" w:rsidRPr="006A745A" w:rsidRDefault="006A745A" w:rsidP="002844EA">
            <w:pPr>
              <w:rPr>
                <w:rFonts w:ascii="Times New Roman" w:hAnsi="Times New Roman" w:cs="Times New Roman"/>
                <w:sz w:val="24"/>
                <w:szCs w:val="24"/>
              </w:rPr>
            </w:pPr>
            <w:proofErr w:type="spellStart"/>
            <w:r w:rsidRPr="006A745A">
              <w:rPr>
                <w:rFonts w:ascii="Times New Roman" w:hAnsi="Times New Roman" w:cs="Times New Roman"/>
                <w:sz w:val="24"/>
                <w:szCs w:val="24"/>
              </w:rPr>
              <w:t>Басқарма</w:t>
            </w:r>
            <w:proofErr w:type="spellEnd"/>
            <w:r w:rsidRPr="006A745A">
              <w:rPr>
                <w:rFonts w:ascii="Times New Roman" w:hAnsi="Times New Roman" w:cs="Times New Roman"/>
                <w:sz w:val="24"/>
                <w:szCs w:val="24"/>
              </w:rPr>
              <w:t xml:space="preserve"> </w:t>
            </w:r>
            <w:proofErr w:type="spellStart"/>
            <w:r w:rsidRPr="006A745A">
              <w:rPr>
                <w:rFonts w:ascii="Times New Roman" w:hAnsi="Times New Roman" w:cs="Times New Roman"/>
                <w:sz w:val="24"/>
                <w:szCs w:val="24"/>
              </w:rPr>
              <w:t>отырысында</w:t>
            </w:r>
            <w:proofErr w:type="spellEnd"/>
            <w:r w:rsidRPr="006A745A">
              <w:rPr>
                <w:rFonts w:ascii="Times New Roman" w:hAnsi="Times New Roman" w:cs="Times New Roman"/>
                <w:sz w:val="24"/>
                <w:szCs w:val="24"/>
              </w:rPr>
              <w:t xml:space="preserve">  БББ </w:t>
            </w:r>
            <w:proofErr w:type="spellStart"/>
            <w:r w:rsidRPr="006A745A">
              <w:rPr>
                <w:rFonts w:ascii="Times New Roman" w:hAnsi="Times New Roman" w:cs="Times New Roman"/>
                <w:sz w:val="24"/>
                <w:szCs w:val="24"/>
              </w:rPr>
              <w:t>бекітукү</w:t>
            </w:r>
            <w:proofErr w:type="gramStart"/>
            <w:r w:rsidRPr="006A745A">
              <w:rPr>
                <w:rFonts w:ascii="Times New Roman" w:hAnsi="Times New Roman" w:cs="Times New Roman"/>
                <w:sz w:val="24"/>
                <w:szCs w:val="24"/>
              </w:rPr>
              <w:t>н</w:t>
            </w:r>
            <w:proofErr w:type="gramEnd"/>
            <w:r w:rsidRPr="006A745A">
              <w:rPr>
                <w:rFonts w:ascii="Times New Roman" w:hAnsi="Times New Roman" w:cs="Times New Roman"/>
                <w:sz w:val="24"/>
                <w:szCs w:val="24"/>
              </w:rPr>
              <w:t>і</w:t>
            </w:r>
            <w:proofErr w:type="spellEnd"/>
            <w:r w:rsidRPr="006A745A">
              <w:rPr>
                <w:rFonts w:ascii="Times New Roman" w:hAnsi="Times New Roman" w:cs="Times New Roman"/>
                <w:sz w:val="24"/>
                <w:szCs w:val="24"/>
              </w:rPr>
              <w:t xml:space="preserve"> </w:t>
            </w:r>
          </w:p>
        </w:tc>
        <w:tc>
          <w:tcPr>
            <w:tcW w:w="9355" w:type="dxa"/>
          </w:tcPr>
          <w:p w:rsidR="006A745A" w:rsidRPr="006A745A" w:rsidRDefault="006A745A" w:rsidP="002844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745A">
              <w:rPr>
                <w:rFonts w:ascii="Times New Roman" w:hAnsi="Times New Roman" w:cs="Times New Roman"/>
                <w:sz w:val="24"/>
                <w:szCs w:val="24"/>
              </w:rPr>
              <w:t>0</w:t>
            </w:r>
            <w:r w:rsidR="00C358F3">
              <w:rPr>
                <w:rFonts w:ascii="Times New Roman" w:hAnsi="Times New Roman" w:cs="Times New Roman"/>
                <w:sz w:val="24"/>
                <w:szCs w:val="24"/>
              </w:rPr>
              <w:t>6</w:t>
            </w:r>
            <w:r w:rsidRPr="006A745A">
              <w:rPr>
                <w:rFonts w:ascii="Times New Roman" w:hAnsi="Times New Roman" w:cs="Times New Roman"/>
                <w:sz w:val="24"/>
                <w:szCs w:val="24"/>
              </w:rPr>
              <w:t>.04.202</w:t>
            </w:r>
            <w:r w:rsidR="00C358F3">
              <w:rPr>
                <w:rFonts w:ascii="Times New Roman" w:hAnsi="Times New Roman" w:cs="Times New Roman"/>
                <w:sz w:val="24"/>
                <w:szCs w:val="24"/>
              </w:rPr>
              <w:t>2</w:t>
            </w:r>
            <w:r w:rsidRPr="006A745A">
              <w:rPr>
                <w:rFonts w:ascii="Times New Roman" w:hAnsi="Times New Roman" w:cs="Times New Roman"/>
                <w:sz w:val="24"/>
                <w:szCs w:val="24"/>
              </w:rPr>
              <w:t xml:space="preserve"> (</w:t>
            </w:r>
            <w:proofErr w:type="spellStart"/>
            <w:r w:rsidRPr="006A745A">
              <w:rPr>
                <w:rFonts w:ascii="Times New Roman" w:hAnsi="Times New Roman" w:cs="Times New Roman"/>
                <w:sz w:val="24"/>
                <w:szCs w:val="24"/>
              </w:rPr>
              <w:t>хаттама</w:t>
            </w:r>
            <w:proofErr w:type="spellEnd"/>
            <w:r w:rsidRPr="006A745A">
              <w:rPr>
                <w:rFonts w:ascii="Times New Roman" w:hAnsi="Times New Roman" w:cs="Times New Roman"/>
                <w:sz w:val="24"/>
                <w:szCs w:val="24"/>
              </w:rPr>
              <w:t xml:space="preserve"> № </w:t>
            </w:r>
            <w:r w:rsidR="00C358F3">
              <w:rPr>
                <w:rFonts w:ascii="Times New Roman" w:hAnsi="Times New Roman" w:cs="Times New Roman"/>
                <w:sz w:val="24"/>
                <w:szCs w:val="24"/>
              </w:rPr>
              <w:t>10</w:t>
            </w:r>
            <w:r w:rsidRPr="006A745A">
              <w:rPr>
                <w:rFonts w:ascii="Times New Roman" w:hAnsi="Times New Roman" w:cs="Times New Roman"/>
                <w:sz w:val="24"/>
                <w:szCs w:val="24"/>
              </w:rPr>
              <w:t>)</w:t>
            </w:r>
          </w:p>
        </w:tc>
      </w:tr>
      <w:tr w:rsidR="006A745A" w:rsidRPr="002844E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Кәсіби стандарт </w:t>
            </w:r>
          </w:p>
        </w:tc>
        <w:tc>
          <w:tcPr>
            <w:tcW w:w="9355" w:type="dxa"/>
          </w:tcPr>
          <w:p w:rsidR="00583C48" w:rsidRPr="00C358F3" w:rsidRDefault="00C358F3"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hAnsi="Times New Roman" w:cs="Times New Roman"/>
                <w:sz w:val="24"/>
                <w:szCs w:val="24"/>
                <w:shd w:val="clear" w:color="auto" w:fill="FFFFFF"/>
                <w:lang w:val="kk-KZ"/>
              </w:rPr>
              <w:t>Мәдениет және өнер саласындағы СБШ негізінде</w:t>
            </w:r>
          </w:p>
        </w:tc>
      </w:tr>
    </w:tbl>
    <w:p w:rsidR="00827BE5" w:rsidRPr="006A745A"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A745A" w:rsidRPr="006A745A" w:rsidTr="006A7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A745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ab/>
            </w:r>
            <w:r w:rsidRPr="006A745A">
              <w:rPr>
                <w:rFonts w:ascii="Times New Roman" w:eastAsia="Times New Roman" w:hAnsi="Times New Roman" w:cs="Times New Roman"/>
                <w:sz w:val="24"/>
                <w:szCs w:val="24"/>
                <w:lang w:val="kk-KZ" w:eastAsia="ru-RU"/>
              </w:rPr>
              <w:tab/>
              <w:t>Результаты обучения</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Қазақстандық қоғамды жаңғырту мен цифрландырудағы рөлі контекстінде әлеуметтік, саяси, мәдени, психологиялық ғылымдар саласындағы іргелі білім мен дағдылар негізінде көптілді ортада тұлғааралық және мәдениетаралық қарым-қатынас кезінде белсенді азаматтық ұстанымды көрсету; бағалау кезінде құқықтық, кәсіпкерлік, өндірістік, экологиялық салалардағы қоғамдық әлеуметтік маңызы бар құбылыстар мен процестерді түсінудің инновациялық тәсілдерін қолдану;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2</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3</w:t>
            </w:r>
          </w:p>
        </w:tc>
        <w:tc>
          <w:tcPr>
            <w:tcW w:w="4764" w:type="pct"/>
          </w:tcPr>
          <w:p w:rsidR="006D2B70" w:rsidRPr="006A745A" w:rsidRDefault="00C358F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Тарихи, мәдени, теориялық және философиялық аспектілердегі қазіргі заманғы дизайнның ең танымал шығармаларының көркемдік процестерін, даму тенденцияларын және стилін, уақыты мен авторлығын талдау;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4</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Көрнекі тілдің негізгі элементтерін, форманың экспрессивтілігін, композиция сезімін, табиғи шындық пен дағдыларды мағыналы визуалды қабылдау ерекшеліктерін, заттардың бетін пластикалық өңдеуді, адам фигурасын бейнелеуді, модельдің қозғалысы мен сипатын, адам қаңқасының бөлімдерінің пропорцияларын, фигураның</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5</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Бояғышта араласқан кезде түстің пластикалық қасиеттерін, кескіндеме техникасы мен түс реңктерін, табиғатты, пішін мен бейнені визуалды қабылдаудың колористикалық шешімдерін, пластикалық, колористік құрылымды ұйымдастырудағы кескіндемелік ерекшеліктерді қолданыңыз;</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lastRenderedPageBreak/>
              <w:t>6</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Жабық және ашық кеңістіктердегі объектілерді және ортаны эскиздік және демонстрациялық бейнелеу тәсілдерін, күйлердің, көңіл-күйдің түс және жарық беру дағдыларын, сондай-ақ жобаланатын объектілердің сыртқы келбетін (материалдардың түсі мен құрылымын), қалыптаудың негізгі теориялары мен әдістерін, кескіндерді, көлемдерді, кеңістіктерді визуалды қабылдау заңдарын меңгеру;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7</w:t>
            </w:r>
          </w:p>
        </w:tc>
        <w:tc>
          <w:tcPr>
            <w:tcW w:w="4764" w:type="pct"/>
          </w:tcPr>
          <w:p w:rsidR="006D2B70" w:rsidRPr="006A745A" w:rsidRDefault="00C358F3"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Компьютерлік графиканың көркемдік құралдары мен заңдылықтарын, кеңістіктік және үш өлшемді бағдарлауды қолдана отырып, зерттелетін бағдарламалардың интерфейсін, үш өлшемді графиканың техникалық әдістерін, кешенді графикалық көріністің негізгі түрлерін кәсіби түрде, терең кеңістіктік композицияның үш өлшемді кескінінің модельдерін суреттей білу;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8</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Көркемдік-жобалау міндеттерін шешуде жобалау алдындағы материалды, техникалық құжаттаманы ресімдеу жоспарын әзірлеу, түстік графикамен, типографиямен, фотографиямен, графикалық құралдармен жұмыс істеу ерекшелігін түсіну және бәсекеге қабілетті жарнама өнімдерін жасау;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9</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Фото-клаузорларда жазық, көлемді және кеңістіктік формаларды модельдеу және жобалау, жарнама қызметінің стратегиялары мен тактикасын, баспагер, жарнама беруші, баспахана және жарнама агенттігі арасындағы қарым-қатынасты, полиграфия мен жарнаманы таратуды түсіну, баспа және жарнама өнімдерін графикалық безендіруді қолдана отырып, оны дамытудың барлық кезеңдерінде шығармашылық жобалық идеяны жүзеге асыру;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10</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Өнеркәсіптік графиканың негізгі теориялық тұжырымдамалары мен нақты терминдерін, типологиялары мен негізгі тұжырымдамалық модельдерін қолдану, өнеркәсіптік графиканы дамытудың заманауи әдістері мен әдістерін, өнеркәсіптік графика объектілерінің түрлері мен түрлерін, дизайн және көркемдік міндеттерді жобалаудағы заманауи технологияларды табу;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DC6089" w:rsidRPr="006A745A" w:rsidRDefault="00DC6089"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11</w:t>
            </w:r>
          </w:p>
        </w:tc>
        <w:tc>
          <w:tcPr>
            <w:tcW w:w="4764" w:type="pct"/>
          </w:tcPr>
          <w:p w:rsidR="00DC6089"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Функционалды, эргономикалық, эстетикалық дизайнның ерекшеліктерін, Графикалық дизайн объектілеріне қойылатын негізгі техникалық және технологиялық талаптарды ескере отырып, жарнама жасау үшін қажетті құралдарды әзірлеу, дизайн жобасын жүзеге асыру үшін материалдарды таңдауды негіздеу, материалды дизайн элементі ретінде түсіндіру;</w:t>
            </w:r>
          </w:p>
        </w:tc>
      </w:tr>
      <w:tr w:rsidR="006A745A" w:rsidRPr="002844EA" w:rsidTr="006A745A">
        <w:tc>
          <w:tcPr>
            <w:cnfStyle w:val="001000000000" w:firstRow="0" w:lastRow="0" w:firstColumn="1" w:lastColumn="0" w:oddVBand="0" w:evenVBand="0" w:oddHBand="0" w:evenHBand="0" w:firstRowFirstColumn="0" w:firstRowLastColumn="0" w:lastRowFirstColumn="0" w:lastRowLastColumn="0"/>
            <w:tcW w:w="236" w:type="pct"/>
          </w:tcPr>
          <w:p w:rsidR="00706C5A" w:rsidRPr="006A745A" w:rsidRDefault="00706C5A"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12</w:t>
            </w:r>
          </w:p>
        </w:tc>
        <w:tc>
          <w:tcPr>
            <w:tcW w:w="4764" w:type="pct"/>
          </w:tcPr>
          <w:p w:rsidR="00706C5A"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Кестелерді пайдаланып веб-беттерді жобалаңыз, ақпаратты ұсыну, іздеу, беру және сақтау, сайт үшін материалды таңдау арқылы HTML құжатын жасаңыз және оны дерекқорға енгізіңіз, сайтты тестілеуді талдаңыз.</w:t>
            </w:r>
          </w:p>
        </w:tc>
      </w:tr>
    </w:tbl>
    <w:p w:rsidR="00840D8F" w:rsidRPr="006A745A" w:rsidRDefault="00840D8F" w:rsidP="008A2B1A">
      <w:pPr>
        <w:rPr>
          <w:lang w:val="kk-KZ"/>
        </w:rPr>
      </w:pPr>
    </w:p>
    <w:p w:rsidR="00840D8F" w:rsidRPr="006A745A" w:rsidRDefault="00840D8F">
      <w:pPr>
        <w:rPr>
          <w:lang w:val="kk-KZ"/>
        </w:rPr>
      </w:pPr>
    </w:p>
    <w:sectPr w:rsidR="00840D8F" w:rsidRPr="006A745A"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873BB"/>
    <w:rsid w:val="001E3EF0"/>
    <w:rsid w:val="002110F0"/>
    <w:rsid w:val="002342A7"/>
    <w:rsid w:val="00244F16"/>
    <w:rsid w:val="002844EA"/>
    <w:rsid w:val="002C5530"/>
    <w:rsid w:val="003237F2"/>
    <w:rsid w:val="003750BD"/>
    <w:rsid w:val="00440F4B"/>
    <w:rsid w:val="00465CC4"/>
    <w:rsid w:val="00583C48"/>
    <w:rsid w:val="005B1B17"/>
    <w:rsid w:val="005D4595"/>
    <w:rsid w:val="00623574"/>
    <w:rsid w:val="00693A94"/>
    <w:rsid w:val="006A745A"/>
    <w:rsid w:val="006D2B70"/>
    <w:rsid w:val="00706C5A"/>
    <w:rsid w:val="00726412"/>
    <w:rsid w:val="00733407"/>
    <w:rsid w:val="0082067B"/>
    <w:rsid w:val="00827BE5"/>
    <w:rsid w:val="00840D8F"/>
    <w:rsid w:val="008A2B1A"/>
    <w:rsid w:val="00902806"/>
    <w:rsid w:val="0092523A"/>
    <w:rsid w:val="009C049E"/>
    <w:rsid w:val="009C10A2"/>
    <w:rsid w:val="009C4DB0"/>
    <w:rsid w:val="009D3CE7"/>
    <w:rsid w:val="00A00985"/>
    <w:rsid w:val="00AD1D12"/>
    <w:rsid w:val="00BB13A9"/>
    <w:rsid w:val="00BC72F4"/>
    <w:rsid w:val="00C358F3"/>
    <w:rsid w:val="00C82115"/>
    <w:rsid w:val="00CC0700"/>
    <w:rsid w:val="00CE196B"/>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22</cp:revision>
  <dcterms:created xsi:type="dcterms:W3CDTF">2020-12-28T09:32:00Z</dcterms:created>
  <dcterms:modified xsi:type="dcterms:W3CDTF">2022-12-12T07:53:00Z</dcterms:modified>
</cp:coreProperties>
</file>