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X="-352" w:tblpY="54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0172"/>
      </w:tblGrid>
      <w:tr w:rsidR="0068230E" w:rsidRPr="0068230E" w:rsidTr="006823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bottom w:val="none" w:sz="0" w:space="0" w:color="auto"/>
            </w:tcBorders>
          </w:tcPr>
          <w:p w:rsidR="0068230E" w:rsidRPr="0068230E" w:rsidRDefault="0068230E" w:rsidP="0068230E">
            <w:pPr>
              <w:shd w:val="clear" w:color="auto" w:fill="FFFFFF"/>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Educational program</w:t>
            </w:r>
          </w:p>
        </w:tc>
        <w:tc>
          <w:tcPr>
            <w:tcW w:w="10172" w:type="dxa"/>
            <w:tcBorders>
              <w:bottom w:val="none" w:sz="0" w:space="0" w:color="auto"/>
            </w:tcBorders>
          </w:tcPr>
          <w:p w:rsidR="0068230E" w:rsidRPr="0068230E" w:rsidRDefault="0068230E" w:rsidP="0068230E">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7M04202 Competition Law</w:t>
            </w:r>
          </w:p>
        </w:tc>
      </w:tr>
      <w:tr w:rsidR="0068230E" w:rsidRPr="0068230E" w:rsidTr="0068230E">
        <w:tc>
          <w:tcPr>
            <w:cnfStyle w:val="001000000000" w:firstRow="0" w:lastRow="0" w:firstColumn="1" w:lastColumn="0" w:oddVBand="0" w:evenVBand="0" w:oddHBand="0" w:evenHBand="0" w:firstRowFirstColumn="0" w:firstRowLastColumn="0" w:lastRowFirstColumn="0" w:lastRowLastColumn="0"/>
            <w:tcW w:w="5387" w:type="dxa"/>
          </w:tcPr>
          <w:p w:rsidR="0068230E" w:rsidRPr="0068230E" w:rsidRDefault="0068230E" w:rsidP="0068230E">
            <w:pPr>
              <w:shd w:val="clear" w:color="auto" w:fill="FFFFFF"/>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EP purpose </w:t>
            </w:r>
          </w:p>
        </w:tc>
        <w:tc>
          <w:tcPr>
            <w:tcW w:w="10172" w:type="dxa"/>
          </w:tcPr>
          <w:p w:rsidR="0068230E" w:rsidRPr="0068230E" w:rsidRDefault="0068230E" w:rsidP="006823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r w:rsidRPr="0068230E">
              <w:rPr>
                <w:rFonts w:ascii="Times New Roman" w:eastAsia="Times New Roman" w:hAnsi="Times New Roman" w:cs="Times New Roman"/>
                <w:sz w:val="24"/>
                <w:szCs w:val="24"/>
                <w:lang w:val="en-US" w:eastAsia="ru-RU"/>
              </w:rPr>
              <w:t xml:space="preserve">   </w:t>
            </w:r>
            <w:r w:rsidRPr="0068230E">
              <w:rPr>
                <w:rFonts w:ascii="Times New Roman" w:hAnsi="Times New Roman" w:cs="Times New Roman"/>
                <w:sz w:val="24"/>
                <w:szCs w:val="24"/>
                <w:lang w:val="en-US"/>
              </w:rPr>
              <w:t xml:space="preserve"> </w:t>
            </w:r>
            <w:r w:rsidRPr="0068230E">
              <w:rPr>
                <w:rFonts w:ascii="Times New Roman" w:eastAsia="Times New Roman" w:hAnsi="Times New Roman" w:cs="Times New Roman"/>
                <w:sz w:val="24"/>
                <w:szCs w:val="24"/>
                <w:lang w:val="en-US" w:eastAsia="ru-RU"/>
              </w:rPr>
              <w:t>Training of specialists capable of performing professional duties in the field of relations related to the protection of competition, prevention and suppression of monopolistic activities and unfair competition, as well as procurement activities.</w:t>
            </w:r>
          </w:p>
        </w:tc>
      </w:tr>
      <w:tr w:rsidR="0068230E" w:rsidRPr="0068230E" w:rsidTr="0068230E">
        <w:tc>
          <w:tcPr>
            <w:cnfStyle w:val="001000000000" w:firstRow="0" w:lastRow="0" w:firstColumn="1" w:lastColumn="0" w:oddVBand="0" w:evenVBand="0" w:oddHBand="0" w:evenHBand="0" w:firstRowFirstColumn="0" w:firstRowLastColumn="0" w:lastRowFirstColumn="0" w:lastRowLastColumn="0"/>
            <w:tcW w:w="5387" w:type="dxa"/>
          </w:tcPr>
          <w:p w:rsidR="0068230E" w:rsidRPr="0068230E" w:rsidRDefault="0068230E" w:rsidP="0068230E">
            <w:pPr>
              <w:shd w:val="clear" w:color="auto" w:fill="FFFFFF"/>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EP type</w:t>
            </w:r>
          </w:p>
        </w:tc>
        <w:tc>
          <w:tcPr>
            <w:tcW w:w="10172" w:type="dxa"/>
          </w:tcPr>
          <w:p w:rsidR="0068230E" w:rsidRPr="0068230E" w:rsidRDefault="0068230E" w:rsidP="006823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 xml:space="preserve"> </w:t>
            </w:r>
            <w:r w:rsidRPr="0068230E">
              <w:rPr>
                <w:rFonts w:ascii="Times New Roman" w:hAnsi="Times New Roman" w:cs="Times New Roman"/>
                <w:sz w:val="24"/>
                <w:szCs w:val="24"/>
                <w:lang w:val="en-US"/>
              </w:rPr>
              <w:t xml:space="preserve"> </w:t>
            </w:r>
            <w:r w:rsidRPr="0068230E">
              <w:rPr>
                <w:rFonts w:ascii="Times New Roman" w:eastAsia="Times New Roman" w:hAnsi="Times New Roman" w:cs="Times New Roman"/>
                <w:sz w:val="24"/>
                <w:szCs w:val="24"/>
                <w:lang w:val="en-US" w:eastAsia="ru-RU"/>
              </w:rPr>
              <w:t xml:space="preserve">New </w:t>
            </w:r>
            <w:r w:rsidRPr="0068230E">
              <w:rPr>
                <w:rFonts w:ascii="Times New Roman" w:eastAsia="Times New Roman" w:hAnsi="Times New Roman" w:cs="Times New Roman"/>
                <w:sz w:val="24"/>
                <w:szCs w:val="24"/>
                <w:lang w:val="en-US" w:eastAsia="ru-RU"/>
              </w:rPr>
              <w:t xml:space="preserve"> </w:t>
            </w:r>
          </w:p>
        </w:tc>
      </w:tr>
      <w:tr w:rsidR="0068230E" w:rsidRPr="0068230E" w:rsidTr="0068230E">
        <w:tc>
          <w:tcPr>
            <w:cnfStyle w:val="001000000000" w:firstRow="0" w:lastRow="0" w:firstColumn="1" w:lastColumn="0" w:oddVBand="0" w:evenVBand="0" w:oddHBand="0" w:evenHBand="0" w:firstRowFirstColumn="0" w:firstRowLastColumn="0" w:lastRowFirstColumn="0" w:lastRowLastColumn="0"/>
            <w:tcW w:w="5387" w:type="dxa"/>
          </w:tcPr>
          <w:p w:rsidR="0068230E" w:rsidRPr="0068230E" w:rsidRDefault="0068230E" w:rsidP="0068230E">
            <w:pPr>
              <w:shd w:val="clear" w:color="auto" w:fill="FFFFFF"/>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Level on NQF</w:t>
            </w:r>
          </w:p>
        </w:tc>
        <w:tc>
          <w:tcPr>
            <w:tcW w:w="10172" w:type="dxa"/>
          </w:tcPr>
          <w:p w:rsidR="0068230E" w:rsidRPr="0068230E" w:rsidRDefault="0068230E" w:rsidP="006823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7</w:t>
            </w:r>
          </w:p>
        </w:tc>
      </w:tr>
      <w:tr w:rsidR="0068230E" w:rsidRPr="0068230E" w:rsidTr="0068230E">
        <w:tc>
          <w:tcPr>
            <w:cnfStyle w:val="001000000000" w:firstRow="0" w:lastRow="0" w:firstColumn="1" w:lastColumn="0" w:oddVBand="0" w:evenVBand="0" w:oddHBand="0" w:evenHBand="0" w:firstRowFirstColumn="0" w:firstRowLastColumn="0" w:lastRowFirstColumn="0" w:lastRowLastColumn="0"/>
            <w:tcW w:w="5387" w:type="dxa"/>
          </w:tcPr>
          <w:p w:rsidR="0068230E" w:rsidRPr="0068230E" w:rsidRDefault="0068230E" w:rsidP="0068230E">
            <w:pPr>
              <w:shd w:val="clear" w:color="auto" w:fill="FFFFFF"/>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Level on SQF</w:t>
            </w:r>
          </w:p>
        </w:tc>
        <w:tc>
          <w:tcPr>
            <w:tcW w:w="10172" w:type="dxa"/>
          </w:tcPr>
          <w:p w:rsidR="0068230E" w:rsidRPr="0068230E" w:rsidRDefault="0068230E" w:rsidP="006823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7</w:t>
            </w:r>
          </w:p>
        </w:tc>
      </w:tr>
      <w:tr w:rsidR="0068230E" w:rsidRPr="0068230E" w:rsidTr="0068230E">
        <w:tc>
          <w:tcPr>
            <w:cnfStyle w:val="001000000000" w:firstRow="0" w:lastRow="0" w:firstColumn="1" w:lastColumn="0" w:oddVBand="0" w:evenVBand="0" w:oddHBand="0" w:evenHBand="0" w:firstRowFirstColumn="0" w:firstRowLastColumn="0" w:lastRowFirstColumn="0" w:lastRowLastColumn="0"/>
            <w:tcW w:w="5387" w:type="dxa"/>
          </w:tcPr>
          <w:p w:rsidR="0068230E" w:rsidRPr="0068230E" w:rsidRDefault="0068230E" w:rsidP="0068230E">
            <w:pPr>
              <w:shd w:val="clear" w:color="auto" w:fill="FFFFFF"/>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EP distinctive features</w:t>
            </w:r>
          </w:p>
        </w:tc>
        <w:tc>
          <w:tcPr>
            <w:tcW w:w="10172" w:type="dxa"/>
          </w:tcPr>
          <w:p w:rsidR="0068230E" w:rsidRPr="0068230E" w:rsidRDefault="0068230E" w:rsidP="006823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No</w:t>
            </w:r>
          </w:p>
        </w:tc>
      </w:tr>
      <w:tr w:rsidR="0068230E" w:rsidRPr="0068230E" w:rsidTr="0068230E">
        <w:tc>
          <w:tcPr>
            <w:cnfStyle w:val="001000000000" w:firstRow="0" w:lastRow="0" w:firstColumn="1" w:lastColumn="0" w:oddVBand="0" w:evenVBand="0" w:oddHBand="0" w:evenHBand="0" w:firstRowFirstColumn="0" w:firstRowLastColumn="0" w:lastRowFirstColumn="0" w:lastRowLastColumn="0"/>
            <w:tcW w:w="5387" w:type="dxa"/>
          </w:tcPr>
          <w:p w:rsidR="0068230E" w:rsidRPr="0068230E" w:rsidRDefault="0068230E" w:rsidP="0068230E">
            <w:pPr>
              <w:shd w:val="clear" w:color="auto" w:fill="FFFFFF"/>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The awarded academic degree</w:t>
            </w:r>
          </w:p>
        </w:tc>
        <w:tc>
          <w:tcPr>
            <w:tcW w:w="10172" w:type="dxa"/>
          </w:tcPr>
          <w:p w:rsidR="0068230E" w:rsidRPr="0068230E" w:rsidRDefault="0068230E" w:rsidP="006823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Master</w:t>
            </w:r>
          </w:p>
        </w:tc>
      </w:tr>
      <w:tr w:rsidR="0068230E" w:rsidRPr="0068230E" w:rsidTr="0068230E">
        <w:tc>
          <w:tcPr>
            <w:cnfStyle w:val="001000000000" w:firstRow="0" w:lastRow="0" w:firstColumn="1" w:lastColumn="0" w:oddVBand="0" w:evenVBand="0" w:oddHBand="0" w:evenHBand="0" w:firstRowFirstColumn="0" w:firstRowLastColumn="0" w:lastRowFirstColumn="0" w:lastRowLastColumn="0"/>
            <w:tcW w:w="5387" w:type="dxa"/>
          </w:tcPr>
          <w:p w:rsidR="0068230E" w:rsidRPr="0068230E" w:rsidRDefault="0068230E" w:rsidP="0068230E">
            <w:pPr>
              <w:shd w:val="clear" w:color="auto" w:fill="FFFFFF"/>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Period of study</w:t>
            </w:r>
          </w:p>
        </w:tc>
        <w:tc>
          <w:tcPr>
            <w:tcW w:w="10172" w:type="dxa"/>
          </w:tcPr>
          <w:p w:rsidR="0068230E" w:rsidRPr="0068230E" w:rsidRDefault="0068230E" w:rsidP="006823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1</w:t>
            </w:r>
          </w:p>
        </w:tc>
      </w:tr>
      <w:tr w:rsidR="0068230E" w:rsidRPr="0068230E" w:rsidTr="0068230E">
        <w:tc>
          <w:tcPr>
            <w:cnfStyle w:val="001000000000" w:firstRow="0" w:lastRow="0" w:firstColumn="1" w:lastColumn="0" w:oddVBand="0" w:evenVBand="0" w:oddHBand="0" w:evenHBand="0" w:firstRowFirstColumn="0" w:firstRowLastColumn="0" w:lastRowFirstColumn="0" w:lastRowLastColumn="0"/>
            <w:tcW w:w="5387" w:type="dxa"/>
          </w:tcPr>
          <w:p w:rsidR="0068230E" w:rsidRPr="0068230E" w:rsidRDefault="0068230E" w:rsidP="0068230E">
            <w:pPr>
              <w:shd w:val="clear" w:color="auto" w:fill="FFFFFF"/>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Volume of the credits</w:t>
            </w:r>
          </w:p>
        </w:tc>
        <w:tc>
          <w:tcPr>
            <w:tcW w:w="10172" w:type="dxa"/>
          </w:tcPr>
          <w:p w:rsidR="0068230E" w:rsidRPr="0068230E" w:rsidRDefault="0068230E" w:rsidP="006823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60</w:t>
            </w:r>
          </w:p>
        </w:tc>
      </w:tr>
      <w:tr w:rsidR="0068230E" w:rsidRPr="0068230E" w:rsidTr="0068230E">
        <w:tc>
          <w:tcPr>
            <w:cnfStyle w:val="001000000000" w:firstRow="0" w:lastRow="0" w:firstColumn="1" w:lastColumn="0" w:oddVBand="0" w:evenVBand="0" w:oddHBand="0" w:evenHBand="0" w:firstRowFirstColumn="0" w:firstRowLastColumn="0" w:lastRowFirstColumn="0" w:lastRowLastColumn="0"/>
            <w:tcW w:w="5387" w:type="dxa"/>
          </w:tcPr>
          <w:p w:rsidR="0068230E" w:rsidRPr="0068230E" w:rsidRDefault="0068230E" w:rsidP="0068230E">
            <w:pPr>
              <w:shd w:val="clear" w:color="auto" w:fill="FFFFFF"/>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Language of education</w:t>
            </w:r>
          </w:p>
        </w:tc>
        <w:tc>
          <w:tcPr>
            <w:tcW w:w="10172" w:type="dxa"/>
          </w:tcPr>
          <w:p w:rsidR="0068230E" w:rsidRPr="0068230E" w:rsidRDefault="0068230E" w:rsidP="006823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Russian, Kazakh, English</w:t>
            </w:r>
          </w:p>
        </w:tc>
      </w:tr>
      <w:tr w:rsidR="0068230E" w:rsidRPr="0068230E" w:rsidTr="0068230E">
        <w:tc>
          <w:tcPr>
            <w:cnfStyle w:val="001000000000" w:firstRow="0" w:lastRow="0" w:firstColumn="1" w:lastColumn="0" w:oddVBand="0" w:evenVBand="0" w:oddHBand="0" w:evenHBand="0" w:firstRowFirstColumn="0" w:firstRowLastColumn="0" w:lastRowFirstColumn="0" w:lastRowLastColumn="0"/>
            <w:tcW w:w="5387" w:type="dxa"/>
          </w:tcPr>
          <w:p w:rsidR="0068230E" w:rsidRPr="0068230E" w:rsidRDefault="0068230E" w:rsidP="0068230E">
            <w:pPr>
              <w:rPr>
                <w:rFonts w:ascii="Times New Roman" w:hAnsi="Times New Roman" w:cs="Times New Roman"/>
                <w:sz w:val="24"/>
                <w:szCs w:val="24"/>
                <w:lang w:val="en-US"/>
              </w:rPr>
            </w:pPr>
            <w:r w:rsidRPr="0068230E">
              <w:rPr>
                <w:rFonts w:ascii="Times New Roman" w:hAnsi="Times New Roman" w:cs="Times New Roman"/>
                <w:sz w:val="24"/>
                <w:szCs w:val="24"/>
                <w:lang w:val="en-US"/>
              </w:rPr>
              <w:t>Date of approval of the OP at the Board meeting</w:t>
            </w:r>
          </w:p>
        </w:tc>
        <w:tc>
          <w:tcPr>
            <w:tcW w:w="10172" w:type="dxa"/>
          </w:tcPr>
          <w:p w:rsidR="0068230E" w:rsidRPr="0068230E" w:rsidRDefault="0068230E" w:rsidP="006823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8230E">
              <w:rPr>
                <w:rFonts w:ascii="Times New Roman" w:hAnsi="Times New Roman" w:cs="Times New Roman"/>
                <w:sz w:val="24"/>
                <w:szCs w:val="24"/>
                <w:lang w:val="en-US"/>
              </w:rPr>
              <w:t>06.04.2022 (protocol No.10)</w:t>
            </w:r>
          </w:p>
        </w:tc>
      </w:tr>
      <w:tr w:rsidR="0068230E" w:rsidRPr="0068230E" w:rsidTr="0068230E">
        <w:tc>
          <w:tcPr>
            <w:cnfStyle w:val="001000000000" w:firstRow="0" w:lastRow="0" w:firstColumn="1" w:lastColumn="0" w:oddVBand="0" w:evenVBand="0" w:oddHBand="0" w:evenHBand="0" w:firstRowFirstColumn="0" w:firstRowLastColumn="0" w:lastRowFirstColumn="0" w:lastRowLastColumn="0"/>
            <w:tcW w:w="5387" w:type="dxa"/>
          </w:tcPr>
          <w:p w:rsidR="0068230E" w:rsidRPr="0068230E" w:rsidRDefault="0068230E" w:rsidP="0068230E">
            <w:pPr>
              <w:rPr>
                <w:rFonts w:ascii="Times New Roman" w:hAnsi="Times New Roman" w:cs="Times New Roman"/>
                <w:sz w:val="24"/>
                <w:szCs w:val="24"/>
                <w:lang w:val="en-US"/>
              </w:rPr>
            </w:pPr>
            <w:r w:rsidRPr="0068230E">
              <w:rPr>
                <w:rFonts w:ascii="Times New Roman" w:eastAsia="Times New Roman" w:hAnsi="Times New Roman" w:cs="Times New Roman"/>
                <w:sz w:val="24"/>
                <w:szCs w:val="24"/>
                <w:lang w:val="en-US" w:eastAsia="ru-RU"/>
              </w:rPr>
              <w:t>Professional standard</w:t>
            </w:r>
          </w:p>
        </w:tc>
        <w:tc>
          <w:tcPr>
            <w:tcW w:w="10172" w:type="dxa"/>
          </w:tcPr>
          <w:p w:rsidR="0068230E" w:rsidRPr="0068230E" w:rsidRDefault="0068230E" w:rsidP="006823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8230E">
              <w:rPr>
                <w:rFonts w:ascii="Times New Roman" w:hAnsi="Times New Roman" w:cs="Times New Roman"/>
                <w:color w:val="000000"/>
                <w:sz w:val="24"/>
                <w:szCs w:val="24"/>
                <w:lang w:val="en-US"/>
              </w:rPr>
              <w:t xml:space="preserve"> </w:t>
            </w:r>
            <w:r w:rsidRPr="0068230E">
              <w:rPr>
                <w:rFonts w:ascii="Times New Roman" w:eastAsia="Times New Roman" w:hAnsi="Times New Roman" w:cs="Times New Roman"/>
                <w:sz w:val="24"/>
                <w:szCs w:val="24"/>
                <w:lang w:val="en-US" w:eastAsia="ru-RU"/>
              </w:rPr>
              <w:t xml:space="preserve"> provision law enforcement and public safety</w:t>
            </w:r>
          </w:p>
        </w:tc>
      </w:tr>
    </w:tbl>
    <w:p w:rsidR="00827BE5" w:rsidRPr="0068230E" w:rsidRDefault="00827BE5" w:rsidP="0068230E">
      <w:pPr>
        <w:spacing w:after="0" w:line="240" w:lineRule="auto"/>
        <w:rPr>
          <w:rFonts w:ascii="Times New Roman" w:hAnsi="Times New Roman" w:cs="Times New Roman"/>
          <w:sz w:val="24"/>
          <w:szCs w:val="24"/>
          <w:lang w:val="en-US"/>
        </w:rPr>
      </w:pPr>
      <w:bookmarkStart w:id="0" w:name="_GoBack"/>
      <w:bookmarkEnd w:id="0"/>
    </w:p>
    <w:tbl>
      <w:tblPr>
        <w:tblStyle w:val="GridTable1LightAccent1"/>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5029"/>
      </w:tblGrid>
      <w:tr w:rsidR="006D2B70" w:rsidRPr="0068230E" w:rsidTr="006823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 w:type="pct"/>
            <w:tcBorders>
              <w:bottom w:val="none" w:sz="0" w:space="0" w:color="auto"/>
            </w:tcBorders>
            <w:hideMark/>
          </w:tcPr>
          <w:p w:rsidR="006D2B70" w:rsidRPr="0068230E" w:rsidRDefault="006D2B70" w:rsidP="0068230E">
            <w:pPr>
              <w:jc w:val="center"/>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w:t>
            </w:r>
          </w:p>
        </w:tc>
        <w:tc>
          <w:tcPr>
            <w:tcW w:w="4819" w:type="pct"/>
            <w:tcBorders>
              <w:bottom w:val="none" w:sz="0" w:space="0" w:color="auto"/>
            </w:tcBorders>
            <w:hideMark/>
          </w:tcPr>
          <w:p w:rsidR="006D2B70" w:rsidRPr="0068230E" w:rsidRDefault="006D2B70" w:rsidP="0068230E">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ab/>
            </w:r>
            <w:r w:rsidRPr="0068230E">
              <w:rPr>
                <w:rFonts w:ascii="Times New Roman" w:eastAsia="Times New Roman" w:hAnsi="Times New Roman" w:cs="Times New Roman"/>
                <w:sz w:val="24"/>
                <w:szCs w:val="24"/>
                <w:lang w:val="en-US" w:eastAsia="ru-RU"/>
              </w:rPr>
              <w:tab/>
            </w:r>
            <w:r w:rsidR="003E5209" w:rsidRPr="0068230E">
              <w:rPr>
                <w:rFonts w:ascii="Times New Roman" w:eastAsia="Times New Roman" w:hAnsi="Times New Roman" w:cs="Times New Roman"/>
                <w:sz w:val="24"/>
                <w:szCs w:val="24"/>
                <w:lang w:val="en-US" w:eastAsia="ru-RU"/>
              </w:rPr>
              <w:t>Learning outcomes:</w:t>
            </w:r>
          </w:p>
        </w:tc>
      </w:tr>
      <w:tr w:rsidR="006D2B70" w:rsidRPr="0068230E" w:rsidTr="0068230E">
        <w:tc>
          <w:tcPr>
            <w:cnfStyle w:val="001000000000" w:firstRow="0" w:lastRow="0" w:firstColumn="1" w:lastColumn="0" w:oddVBand="0" w:evenVBand="0" w:oddHBand="0" w:evenHBand="0" w:firstRowFirstColumn="0" w:firstRowLastColumn="0" w:lastRowFirstColumn="0" w:lastRowLastColumn="0"/>
            <w:tcW w:w="181" w:type="pct"/>
          </w:tcPr>
          <w:p w:rsidR="006D2B70" w:rsidRPr="0068230E" w:rsidRDefault="006D2B70" w:rsidP="0068230E">
            <w:pPr>
              <w:jc w:val="center"/>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1</w:t>
            </w:r>
          </w:p>
        </w:tc>
        <w:tc>
          <w:tcPr>
            <w:tcW w:w="4819" w:type="pct"/>
          </w:tcPr>
          <w:p w:rsidR="006D2B70" w:rsidRPr="0068230E" w:rsidRDefault="00FC7286" w:rsidP="0068230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To take an active civic position in interpersonal and intercultural communication in a multilingual environment based on fundamental knowledge and skills in the field of social and psychological sciences in philosophy and pedagogy in the context of their role in the modernization and digitalization of Kazakh society</w:t>
            </w:r>
          </w:p>
        </w:tc>
      </w:tr>
      <w:tr w:rsidR="006D2B70" w:rsidRPr="0068230E" w:rsidTr="0068230E">
        <w:tc>
          <w:tcPr>
            <w:cnfStyle w:val="001000000000" w:firstRow="0" w:lastRow="0" w:firstColumn="1" w:lastColumn="0" w:oddVBand="0" w:evenVBand="0" w:oddHBand="0" w:evenHBand="0" w:firstRowFirstColumn="0" w:firstRowLastColumn="0" w:lastRowFirstColumn="0" w:lastRowLastColumn="0"/>
            <w:tcW w:w="181" w:type="pct"/>
          </w:tcPr>
          <w:p w:rsidR="006D2B70" w:rsidRPr="0068230E" w:rsidRDefault="006D2B70" w:rsidP="0068230E">
            <w:pPr>
              <w:jc w:val="center"/>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2</w:t>
            </w:r>
          </w:p>
        </w:tc>
        <w:tc>
          <w:tcPr>
            <w:tcW w:w="4819" w:type="pct"/>
          </w:tcPr>
          <w:p w:rsidR="006D2B70" w:rsidRPr="0068230E" w:rsidRDefault="00FC7286" w:rsidP="0068230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To take an active civic position in interpersonal and intercultural communication in a multilingual environment based on fundamental knowledge and skills in the field of social and psychological sciences in philosophy and pedagogy in the context of their role in the modernization and digitalization of Kazakh society</w:t>
            </w:r>
          </w:p>
        </w:tc>
      </w:tr>
      <w:tr w:rsidR="006D2B70" w:rsidRPr="0068230E" w:rsidTr="0068230E">
        <w:tc>
          <w:tcPr>
            <w:cnfStyle w:val="001000000000" w:firstRow="0" w:lastRow="0" w:firstColumn="1" w:lastColumn="0" w:oddVBand="0" w:evenVBand="0" w:oddHBand="0" w:evenHBand="0" w:firstRowFirstColumn="0" w:firstRowLastColumn="0" w:lastRowFirstColumn="0" w:lastRowLastColumn="0"/>
            <w:tcW w:w="181" w:type="pct"/>
          </w:tcPr>
          <w:p w:rsidR="006D2B70" w:rsidRPr="0068230E" w:rsidRDefault="006D2B70" w:rsidP="0068230E">
            <w:pPr>
              <w:jc w:val="center"/>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3</w:t>
            </w:r>
          </w:p>
        </w:tc>
        <w:tc>
          <w:tcPr>
            <w:tcW w:w="4819" w:type="pct"/>
          </w:tcPr>
          <w:p w:rsidR="006D2B70" w:rsidRPr="0068230E" w:rsidRDefault="00FC7286" w:rsidP="0068230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Apply methods of competition regulation and protection against anti-competitive agreements and unfair competition in modern economic conditions, skills of respect for fundamental rights in the field of economic activity and the inadmissibility of restricting competition</w:t>
            </w:r>
          </w:p>
        </w:tc>
      </w:tr>
      <w:tr w:rsidR="006D2B70" w:rsidRPr="0068230E" w:rsidTr="0068230E">
        <w:tc>
          <w:tcPr>
            <w:cnfStyle w:val="001000000000" w:firstRow="0" w:lastRow="0" w:firstColumn="1" w:lastColumn="0" w:oddVBand="0" w:evenVBand="0" w:oddHBand="0" w:evenHBand="0" w:firstRowFirstColumn="0" w:firstRowLastColumn="0" w:lastRowFirstColumn="0" w:lastRowLastColumn="0"/>
            <w:tcW w:w="181" w:type="pct"/>
          </w:tcPr>
          <w:p w:rsidR="006D2B70" w:rsidRPr="0068230E" w:rsidRDefault="006D2B70" w:rsidP="0068230E">
            <w:pPr>
              <w:jc w:val="center"/>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4</w:t>
            </w:r>
          </w:p>
        </w:tc>
        <w:tc>
          <w:tcPr>
            <w:tcW w:w="4819" w:type="pct"/>
          </w:tcPr>
          <w:p w:rsidR="006D2B70" w:rsidRPr="0068230E" w:rsidRDefault="00FC7286" w:rsidP="0068230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To compare categories of economic concentration, to distinguish the features of the control of economic concentration with the participation of certain categories of economic entities, to establish the procedure for considering applications for consent to transactions and other actions subject to state control</w:t>
            </w:r>
          </w:p>
        </w:tc>
      </w:tr>
      <w:tr w:rsidR="006D2B70" w:rsidRPr="0068230E" w:rsidTr="0068230E">
        <w:tc>
          <w:tcPr>
            <w:cnfStyle w:val="001000000000" w:firstRow="0" w:lastRow="0" w:firstColumn="1" w:lastColumn="0" w:oddVBand="0" w:evenVBand="0" w:oddHBand="0" w:evenHBand="0" w:firstRowFirstColumn="0" w:firstRowLastColumn="0" w:lastRowFirstColumn="0" w:lastRowLastColumn="0"/>
            <w:tcW w:w="181" w:type="pct"/>
          </w:tcPr>
          <w:p w:rsidR="006D2B70" w:rsidRPr="0068230E" w:rsidRDefault="006D2B70" w:rsidP="0068230E">
            <w:pPr>
              <w:jc w:val="center"/>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5</w:t>
            </w:r>
          </w:p>
        </w:tc>
        <w:tc>
          <w:tcPr>
            <w:tcW w:w="4819" w:type="pct"/>
          </w:tcPr>
          <w:p w:rsidR="006D2B70" w:rsidRPr="0068230E" w:rsidRDefault="00FC7286" w:rsidP="0068230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Analyze the content of agreements in competition law, antimonopoly requirements for horizontal and vertical agreements, agreements in certain areas of economic activity, carry out coordinated actions and coordination of economic activities</w:t>
            </w:r>
          </w:p>
        </w:tc>
      </w:tr>
      <w:tr w:rsidR="006D2B70" w:rsidRPr="0068230E" w:rsidTr="0068230E">
        <w:tc>
          <w:tcPr>
            <w:cnfStyle w:val="001000000000" w:firstRow="0" w:lastRow="0" w:firstColumn="1" w:lastColumn="0" w:oddVBand="0" w:evenVBand="0" w:oddHBand="0" w:evenHBand="0" w:firstRowFirstColumn="0" w:firstRowLastColumn="0" w:lastRowFirstColumn="0" w:lastRowLastColumn="0"/>
            <w:tcW w:w="181" w:type="pct"/>
          </w:tcPr>
          <w:p w:rsidR="006D2B70" w:rsidRPr="0068230E" w:rsidRDefault="006D2B70" w:rsidP="0068230E">
            <w:pPr>
              <w:jc w:val="center"/>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6</w:t>
            </w:r>
          </w:p>
        </w:tc>
        <w:tc>
          <w:tcPr>
            <w:tcW w:w="4819" w:type="pct"/>
          </w:tcPr>
          <w:p w:rsidR="006D2B70" w:rsidRPr="0068230E" w:rsidRDefault="00FC7286" w:rsidP="0068230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To evaluate the general characteristics of the antimonopoly legislation of the Republic of Kazakhstan and other regulatory legal acts on the protection of competition</w:t>
            </w:r>
          </w:p>
        </w:tc>
      </w:tr>
      <w:tr w:rsidR="006D2B70" w:rsidRPr="0068230E" w:rsidTr="0068230E">
        <w:tc>
          <w:tcPr>
            <w:cnfStyle w:val="001000000000" w:firstRow="0" w:lastRow="0" w:firstColumn="1" w:lastColumn="0" w:oddVBand="0" w:evenVBand="0" w:oddHBand="0" w:evenHBand="0" w:firstRowFirstColumn="0" w:firstRowLastColumn="0" w:lastRowFirstColumn="0" w:lastRowLastColumn="0"/>
            <w:tcW w:w="181" w:type="pct"/>
          </w:tcPr>
          <w:p w:rsidR="006D2B70" w:rsidRPr="0068230E" w:rsidRDefault="006D2B70" w:rsidP="0068230E">
            <w:pPr>
              <w:jc w:val="center"/>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7</w:t>
            </w:r>
          </w:p>
        </w:tc>
        <w:tc>
          <w:tcPr>
            <w:tcW w:w="4819" w:type="pct"/>
          </w:tcPr>
          <w:p w:rsidR="006D2B70" w:rsidRPr="0068230E" w:rsidRDefault="00FC7286" w:rsidP="006823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8230E">
              <w:rPr>
                <w:rFonts w:ascii="Times New Roman" w:hAnsi="Times New Roman" w:cs="Times New Roman"/>
                <w:sz w:val="24"/>
                <w:szCs w:val="24"/>
                <w:lang w:val="en-US"/>
              </w:rPr>
              <w:t>Identify signs of unfair competition, use classification approaches, identify facts of unfair competition related to the use of information in the field of intellectual property, have the skills to implement legal protection and legal liability for unfair competition</w:t>
            </w:r>
          </w:p>
        </w:tc>
      </w:tr>
      <w:tr w:rsidR="006D2B70" w:rsidRPr="0068230E" w:rsidTr="0068230E">
        <w:tc>
          <w:tcPr>
            <w:cnfStyle w:val="001000000000" w:firstRow="0" w:lastRow="0" w:firstColumn="1" w:lastColumn="0" w:oddVBand="0" w:evenVBand="0" w:oddHBand="0" w:evenHBand="0" w:firstRowFirstColumn="0" w:firstRowLastColumn="0" w:lastRowFirstColumn="0" w:lastRowLastColumn="0"/>
            <w:tcW w:w="181" w:type="pct"/>
          </w:tcPr>
          <w:p w:rsidR="006D2B70" w:rsidRPr="0068230E" w:rsidRDefault="006D2B70" w:rsidP="0068230E">
            <w:pPr>
              <w:jc w:val="center"/>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8</w:t>
            </w:r>
          </w:p>
        </w:tc>
        <w:tc>
          <w:tcPr>
            <w:tcW w:w="4819" w:type="pct"/>
          </w:tcPr>
          <w:p w:rsidR="006D2B70" w:rsidRPr="0068230E" w:rsidRDefault="00FC7286" w:rsidP="0068230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To review cases of violation of antimonopoly legislation, to analyze the types of acts adopted by the commission for consideration of cases of violation of antimonopoly legislation</w:t>
            </w:r>
          </w:p>
        </w:tc>
      </w:tr>
      <w:tr w:rsidR="00FC7286" w:rsidRPr="0068230E" w:rsidTr="0068230E">
        <w:tc>
          <w:tcPr>
            <w:cnfStyle w:val="001000000000" w:firstRow="0" w:lastRow="0" w:firstColumn="1" w:lastColumn="0" w:oddVBand="0" w:evenVBand="0" w:oddHBand="0" w:evenHBand="0" w:firstRowFirstColumn="0" w:firstRowLastColumn="0" w:lastRowFirstColumn="0" w:lastRowLastColumn="0"/>
            <w:tcW w:w="181" w:type="pct"/>
          </w:tcPr>
          <w:p w:rsidR="00FC7286" w:rsidRPr="0068230E" w:rsidRDefault="00FC7286" w:rsidP="0068230E">
            <w:pPr>
              <w:jc w:val="center"/>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9</w:t>
            </w:r>
          </w:p>
        </w:tc>
        <w:tc>
          <w:tcPr>
            <w:tcW w:w="4819" w:type="pct"/>
          </w:tcPr>
          <w:p w:rsidR="00FC7286" w:rsidRPr="0068230E" w:rsidRDefault="00FC7286" w:rsidP="0068230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8230E">
              <w:rPr>
                <w:rFonts w:ascii="Times New Roman" w:eastAsia="Times New Roman" w:hAnsi="Times New Roman" w:cs="Times New Roman"/>
                <w:sz w:val="24"/>
                <w:szCs w:val="24"/>
                <w:lang w:val="en-US" w:eastAsia="ru-RU"/>
              </w:rPr>
              <w:t>To develop documents on antimonopoly regulation in certain sectors of the economy such as: antimonopoly regulation in the electric power industry, in the fuel and energy complex, in communications, transport, in the housing construction market, to draw up agreements on non-competition under the labor legislation of the Republic of Kazakhstan</w:t>
            </w:r>
          </w:p>
        </w:tc>
      </w:tr>
    </w:tbl>
    <w:p w:rsidR="00840D8F" w:rsidRPr="003E5209" w:rsidRDefault="00840D8F">
      <w:pPr>
        <w:rPr>
          <w:lang w:val="en-US"/>
        </w:rPr>
      </w:pPr>
    </w:p>
    <w:sectPr w:rsidR="00840D8F" w:rsidRPr="003E5209" w:rsidSect="0068230E">
      <w:pgSz w:w="16838" w:h="11906" w:orient="landscape"/>
      <w:pgMar w:top="1701" w:right="1134" w:bottom="23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2353F"/>
    <w:rsid w:val="000E0437"/>
    <w:rsid w:val="000F4508"/>
    <w:rsid w:val="0017400A"/>
    <w:rsid w:val="001A4211"/>
    <w:rsid w:val="001E3EF0"/>
    <w:rsid w:val="002342A7"/>
    <w:rsid w:val="00246882"/>
    <w:rsid w:val="002C5530"/>
    <w:rsid w:val="002D0679"/>
    <w:rsid w:val="00315D74"/>
    <w:rsid w:val="003237F2"/>
    <w:rsid w:val="003D5D1A"/>
    <w:rsid w:val="003E5209"/>
    <w:rsid w:val="00465CC4"/>
    <w:rsid w:val="004C50DE"/>
    <w:rsid w:val="004D6848"/>
    <w:rsid w:val="00582AF3"/>
    <w:rsid w:val="005B1B17"/>
    <w:rsid w:val="0068230E"/>
    <w:rsid w:val="00693A94"/>
    <w:rsid w:val="006D2B70"/>
    <w:rsid w:val="00726412"/>
    <w:rsid w:val="00733407"/>
    <w:rsid w:val="00827BE5"/>
    <w:rsid w:val="008379D1"/>
    <w:rsid w:val="00840D8F"/>
    <w:rsid w:val="0087292E"/>
    <w:rsid w:val="008A2B1A"/>
    <w:rsid w:val="00902806"/>
    <w:rsid w:val="0092523A"/>
    <w:rsid w:val="009664B3"/>
    <w:rsid w:val="009C049E"/>
    <w:rsid w:val="009C10A2"/>
    <w:rsid w:val="009C4DB0"/>
    <w:rsid w:val="009D3CE7"/>
    <w:rsid w:val="009D433E"/>
    <w:rsid w:val="00A00985"/>
    <w:rsid w:val="00A06874"/>
    <w:rsid w:val="00A40155"/>
    <w:rsid w:val="00AB1588"/>
    <w:rsid w:val="00AD1D12"/>
    <w:rsid w:val="00BB13A9"/>
    <w:rsid w:val="00BC72F4"/>
    <w:rsid w:val="00C37DE6"/>
    <w:rsid w:val="00C82115"/>
    <w:rsid w:val="00D51192"/>
    <w:rsid w:val="00DA5772"/>
    <w:rsid w:val="00DC6089"/>
    <w:rsid w:val="00E17DA3"/>
    <w:rsid w:val="00E26C87"/>
    <w:rsid w:val="00F46C0F"/>
    <w:rsid w:val="00FC7286"/>
    <w:rsid w:val="00FF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467</Words>
  <Characters>2666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6</cp:revision>
  <dcterms:created xsi:type="dcterms:W3CDTF">2021-10-28T09:40:00Z</dcterms:created>
  <dcterms:modified xsi:type="dcterms:W3CDTF">2022-12-14T10:52:00Z</dcterms:modified>
</cp:coreProperties>
</file>