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B57EAF"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B57EAF">
              <w:rPr>
                <w:rFonts w:ascii="Times New Roman" w:eastAsia="Times New Roman" w:hAnsi="Times New Roman" w:cs="Times New Roman"/>
                <w:sz w:val="24"/>
                <w:szCs w:val="24"/>
                <w:lang w:eastAsia="ru-RU"/>
              </w:rPr>
              <w:t xml:space="preserve">6B11101 </w:t>
            </w:r>
            <w:proofErr w:type="spellStart"/>
            <w:r w:rsidRPr="00B57EAF">
              <w:rPr>
                <w:rFonts w:ascii="Times New Roman" w:eastAsia="Times New Roman" w:hAnsi="Times New Roman" w:cs="Times New Roman"/>
                <w:sz w:val="24"/>
                <w:szCs w:val="24"/>
                <w:lang w:eastAsia="ru-RU"/>
              </w:rPr>
              <w:t>Tourism</w:t>
            </w:r>
            <w:bookmarkEnd w:id="0"/>
            <w:proofErr w:type="spellEnd"/>
          </w:p>
        </w:tc>
      </w:tr>
      <w:tr w:rsidR="006200D1" w:rsidRPr="00B57EAF"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B57EAF"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57EAF">
              <w:rPr>
                <w:rFonts w:ascii="Times New Roman" w:hAnsi="Times New Roman" w:cs="Times New Roman"/>
                <w:sz w:val="24"/>
                <w:szCs w:val="24"/>
                <w:lang w:val="en-US"/>
              </w:rPr>
              <w:t>Training of competitive qualified personnel for the service sector, possessing knowledge in the field of modern innovative technologies, capable of carrying out professional activities aimed at improving the tourism and hospitality industry, ensuring the effective functioning of a tourism enterprise, successful organization and planning of tourism activities.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B57EA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57EAF">
              <w:rPr>
                <w:rFonts w:ascii="Times New Roman" w:eastAsia="Times New Roman" w:hAnsi="Times New Roman"/>
                <w:sz w:val="24"/>
                <w:szCs w:val="24"/>
                <w:lang w:eastAsia="ru-RU"/>
              </w:rPr>
              <w:t>Acting</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B57EAF"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B57EAF"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57EAF">
              <w:rPr>
                <w:rFonts w:ascii="Times New Roman" w:eastAsia="Times New Roman" w:hAnsi="Times New Roman"/>
                <w:sz w:val="24"/>
                <w:szCs w:val="24"/>
                <w:lang w:val="kk-KZ" w:eastAsia="ru-RU"/>
              </w:rPr>
              <w:t>Tourism</w:t>
            </w:r>
            <w:r>
              <w:rPr>
                <w:rFonts w:ascii="Times New Roman" w:eastAsia="Times New Roman" w:hAnsi="Times New Roman"/>
                <w:sz w:val="24"/>
                <w:szCs w:val="24"/>
                <w:lang w:val="kk-KZ" w:eastAsia="ru-RU"/>
              </w:rPr>
              <w:t xml:space="preserve"> 17.01.2017, </w:t>
            </w:r>
            <w:r w:rsidRPr="00B57EAF">
              <w:rPr>
                <w:rFonts w:ascii="Times New Roman" w:eastAsia="Times New Roman" w:hAnsi="Times New Roman"/>
                <w:sz w:val="24"/>
                <w:szCs w:val="24"/>
                <w:lang w:val="kk-KZ" w:eastAsia="ru-RU"/>
              </w:rPr>
              <w:t>Provision of tourist services</w:t>
            </w:r>
            <w:r>
              <w:rPr>
                <w:rFonts w:ascii="Times New Roman" w:eastAsia="Times New Roman" w:hAnsi="Times New Roman"/>
                <w:sz w:val="24"/>
                <w:szCs w:val="24"/>
                <w:lang w:val="kk-KZ" w:eastAsia="ru-RU"/>
              </w:rPr>
              <w:t xml:space="preserve"> 06.12.2022</w:t>
            </w:r>
          </w:p>
        </w:tc>
      </w:tr>
    </w:tbl>
    <w:p w:rsidR="00C01CAA" w:rsidRPr="00B57EAF"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p w:rsidR="00C01CAA" w:rsidRPr="00B57EAF"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B57EAF"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B57EAF"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B57EAF">
              <w:rPr>
                <w:rFonts w:ascii="Times New Roman" w:eastAsia="Calibri" w:hAnsi="Times New Roman" w:cs="Times New Roman"/>
                <w:b w:val="0"/>
                <w:iCs/>
                <w:sz w:val="24"/>
                <w:szCs w:val="24"/>
                <w:lang w:val="en-US" w:eastAsia="ru-RU"/>
              </w:rPr>
              <w:t>to show an active civic position in interpersonal and intercultural communication in a multilingual environment based on fundamental knowledge and skills in the field of social, political, cultural, psychological sciences in the context of their role in the modernization and digitalization of Kazakh society;</w:t>
            </w:r>
          </w:p>
        </w:tc>
      </w:tr>
      <w:tr w:rsidR="00290F64"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Pr>
                <w:rFonts w:ascii="Times New Roman" w:eastAsia="Calibri" w:hAnsi="Times New Roman" w:cs="Times New Roman"/>
                <w:sz w:val="24"/>
                <w:szCs w:val="24"/>
                <w:shd w:val="clear" w:color="auto" w:fill="FFFFFF"/>
                <w:lang w:val="kk-KZ"/>
              </w:rPr>
              <w:t>а</w:t>
            </w:r>
            <w:proofErr w:type="spellStart"/>
            <w:r w:rsidRPr="00B57EAF">
              <w:rPr>
                <w:rFonts w:ascii="Times New Roman" w:eastAsia="Calibri" w:hAnsi="Times New Roman" w:cs="Times New Roman"/>
                <w:sz w:val="24"/>
                <w:szCs w:val="24"/>
                <w:shd w:val="clear" w:color="auto" w:fill="FFFFFF"/>
                <w:lang w:val="en-US"/>
              </w:rPr>
              <w:t>pply</w:t>
            </w:r>
            <w:proofErr w:type="spellEnd"/>
            <w:r w:rsidRPr="00B57EAF">
              <w:rPr>
                <w:rFonts w:ascii="Times New Roman" w:eastAsia="Calibri" w:hAnsi="Times New Roman" w:cs="Times New Roman"/>
                <w:sz w:val="24"/>
                <w:szCs w:val="24"/>
                <w:shd w:val="clear" w:color="auto" w:fill="FFFFFF"/>
                <w:lang w:val="en-US"/>
              </w:rPr>
              <w:t xml:space="preserve"> innovative approaches to understanding public socially significant phenomena and processes in the legal, entrepreneurial, industrial, environmental environment;</w:t>
            </w:r>
          </w:p>
        </w:tc>
      </w:tr>
      <w:tr w:rsidR="00290F64"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57EAF">
              <w:rPr>
                <w:rFonts w:ascii="Times New Roman" w:hAnsi="Times New Roman"/>
                <w:bCs/>
                <w:iCs/>
                <w:sz w:val="24"/>
                <w:szCs w:val="24"/>
                <w:lang w:val="kk-KZ"/>
              </w:rPr>
              <w:t>аnalyze international conventions and documents in the field of tourism and hospitality to identify trends in the development of international tourism and the role of international tourism organizations in the development of tourism;</w:t>
            </w:r>
          </w:p>
        </w:tc>
      </w:tr>
      <w:tr w:rsidR="00290F64"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Pr>
                <w:rFonts w:ascii="Times New Roman" w:hAnsi="Times New Roman"/>
                <w:bCs/>
                <w:iCs/>
                <w:sz w:val="24"/>
                <w:szCs w:val="24"/>
                <w:lang w:val="kk-KZ"/>
              </w:rPr>
              <w:t>а</w:t>
            </w:r>
            <w:proofErr w:type="spellStart"/>
            <w:r w:rsidRPr="00B57EAF">
              <w:rPr>
                <w:rFonts w:ascii="Times New Roman" w:hAnsi="Times New Roman"/>
                <w:bCs/>
                <w:iCs/>
                <w:sz w:val="24"/>
                <w:szCs w:val="24"/>
                <w:lang w:val="en-US"/>
              </w:rPr>
              <w:t>nalysis</w:t>
            </w:r>
            <w:proofErr w:type="spellEnd"/>
            <w:r w:rsidRPr="00B57EAF">
              <w:rPr>
                <w:rFonts w:ascii="Times New Roman" w:hAnsi="Times New Roman"/>
                <w:bCs/>
                <w:iCs/>
                <w:sz w:val="24"/>
                <w:szCs w:val="24"/>
                <w:lang w:val="en-US"/>
              </w:rPr>
              <w:t xml:space="preserve"> and forecasting of tourist flows based on the assessment of the tourist potential of the regions of the Republic of </w:t>
            </w:r>
            <w:proofErr w:type="spellStart"/>
            <w:r w:rsidRPr="00B57EAF">
              <w:rPr>
                <w:rFonts w:ascii="Times New Roman" w:hAnsi="Times New Roman"/>
                <w:bCs/>
                <w:iCs/>
                <w:sz w:val="24"/>
                <w:szCs w:val="24"/>
                <w:lang w:val="en-US"/>
              </w:rPr>
              <w:t>Kazakhsta</w:t>
            </w:r>
            <w:proofErr w:type="spellEnd"/>
            <w:r w:rsidRPr="00B57EAF">
              <w:rPr>
                <w:rFonts w:ascii="Times New Roman" w:hAnsi="Times New Roman"/>
                <w:bCs/>
                <w:iCs/>
                <w:sz w:val="24"/>
                <w:szCs w:val="24"/>
                <w:lang w:val="en-US"/>
              </w:rPr>
              <w:t>;</w:t>
            </w:r>
          </w:p>
        </w:tc>
      </w:tr>
      <w:tr w:rsidR="00290F64"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57EAF">
              <w:rPr>
                <w:rFonts w:ascii="Times New Roman" w:hAnsi="Times New Roman"/>
                <w:bCs/>
                <w:iCs/>
                <w:sz w:val="24"/>
                <w:szCs w:val="24"/>
                <w:lang w:val="en-US"/>
              </w:rPr>
              <w:t>apply the skills of planning and organizing production, economic, logistics and other activities in the system of tourist services, for the effective conduct of economic activity;</w:t>
            </w:r>
          </w:p>
        </w:tc>
      </w:tr>
      <w:tr w:rsidR="00290F64"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B57EAF">
              <w:rPr>
                <w:rFonts w:ascii="Times New Roman" w:hAnsi="Times New Roman"/>
                <w:bCs/>
                <w:iCs/>
                <w:sz w:val="24"/>
                <w:szCs w:val="24"/>
                <w:lang w:val="en-US" w:eastAsia="ru-RU"/>
              </w:rPr>
              <w:t>apply marketing and management tools in tourism activities to make effective management decisions in tourism industry organizations;</w:t>
            </w:r>
          </w:p>
        </w:tc>
      </w:tr>
      <w:tr w:rsidR="00290F64"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57EAF">
              <w:rPr>
                <w:rFonts w:ascii="Times New Roman" w:hAnsi="Times New Roman"/>
                <w:bCs/>
                <w:iCs/>
                <w:sz w:val="24"/>
                <w:szCs w:val="24"/>
                <w:lang w:val="en-US"/>
              </w:rPr>
              <w:t>to carry out business communication in oral and written forms to promote the image of the tourist business;</w:t>
            </w:r>
          </w:p>
        </w:tc>
      </w:tr>
      <w:tr w:rsidR="00290F64" w:rsidRPr="00B57EAF"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proofErr w:type="spellStart"/>
            <w:r w:rsidRPr="00B57EAF">
              <w:rPr>
                <w:rFonts w:ascii="Times New Roman" w:hAnsi="Times New Roman"/>
                <w:bCs/>
                <w:iCs/>
                <w:sz w:val="24"/>
                <w:szCs w:val="24"/>
                <w:lang w:val="en-US"/>
              </w:rPr>
              <w:t>аpply</w:t>
            </w:r>
            <w:proofErr w:type="spellEnd"/>
            <w:r w:rsidRPr="00B57EAF">
              <w:rPr>
                <w:rFonts w:ascii="Times New Roman" w:hAnsi="Times New Roman"/>
                <w:bCs/>
                <w:iCs/>
                <w:sz w:val="24"/>
                <w:szCs w:val="24"/>
                <w:lang w:val="en-US"/>
              </w:rPr>
              <w:t xml:space="preserve"> automated management systems of tourism and hospitality industry enterprises, modern technologies of production, promotion and sale of </w:t>
            </w:r>
            <w:r w:rsidRPr="00B57EAF">
              <w:rPr>
                <w:rFonts w:ascii="Times New Roman" w:hAnsi="Times New Roman"/>
                <w:bCs/>
                <w:iCs/>
                <w:sz w:val="24"/>
                <w:szCs w:val="24"/>
                <w:lang w:val="en-US"/>
              </w:rPr>
              <w:lastRenderedPageBreak/>
              <w:t>tourist products to expand business opportunities in the field of tourism and hospitality;</w:t>
            </w:r>
          </w:p>
        </w:tc>
      </w:tr>
      <w:tr w:rsidR="00290F64"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B57EA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Pr>
                <w:rFonts w:ascii="Times New Roman" w:hAnsi="Times New Roman"/>
                <w:bCs/>
                <w:iCs/>
                <w:sz w:val="24"/>
                <w:szCs w:val="24"/>
                <w:lang w:val="kk-KZ"/>
              </w:rPr>
              <w:t>р</w:t>
            </w:r>
            <w:proofErr w:type="spellStart"/>
            <w:r w:rsidRPr="00B57EAF">
              <w:rPr>
                <w:rFonts w:ascii="Times New Roman" w:hAnsi="Times New Roman"/>
                <w:bCs/>
                <w:iCs/>
                <w:sz w:val="24"/>
                <w:szCs w:val="24"/>
                <w:lang w:val="en-US"/>
              </w:rPr>
              <w:t>lan</w:t>
            </w:r>
            <w:proofErr w:type="spellEnd"/>
            <w:r w:rsidRPr="00B57EAF">
              <w:rPr>
                <w:rFonts w:ascii="Times New Roman" w:hAnsi="Times New Roman"/>
                <w:bCs/>
                <w:iCs/>
                <w:sz w:val="24"/>
                <w:szCs w:val="24"/>
                <w:lang w:val="en-US"/>
              </w:rPr>
              <w:t xml:space="preserve"> the economic activity of a tourist enterprise based on the monitoring of tourist resources using the best world practices of the tourism, hospitality, recreation and entertainment industry;</w:t>
            </w:r>
          </w:p>
        </w:tc>
      </w:tr>
      <w:tr w:rsidR="00B57EAF" w:rsidRPr="00B57EA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B57EAF" w:rsidRPr="001F3F34" w:rsidRDefault="00B57EAF"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73" w:type="pct"/>
            <w:tcBorders>
              <w:top w:val="single" w:sz="4" w:space="0" w:color="auto"/>
              <w:left w:val="single" w:sz="4" w:space="0" w:color="auto"/>
              <w:bottom w:val="single" w:sz="4" w:space="0" w:color="auto"/>
              <w:right w:val="single" w:sz="4" w:space="0" w:color="auto"/>
            </w:tcBorders>
          </w:tcPr>
          <w:p w:rsidR="00B57EAF" w:rsidRDefault="00B57EA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B57EAF">
              <w:rPr>
                <w:rFonts w:ascii="Times New Roman" w:hAnsi="Times New Roman"/>
                <w:bCs/>
                <w:iCs/>
                <w:sz w:val="24"/>
                <w:szCs w:val="24"/>
                <w:lang w:val="kk-KZ"/>
              </w:rPr>
              <w:t>to organize safe production and economic activities of tourist and hotel enterprises, in order to minimize risks, dangers and threats arising during maintenance and management of the economy;</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22" w:rsidRDefault="002E3D22" w:rsidP="00343CCA">
      <w:pPr>
        <w:spacing w:after="0" w:line="240" w:lineRule="auto"/>
      </w:pPr>
      <w:r>
        <w:separator/>
      </w:r>
    </w:p>
  </w:endnote>
  <w:endnote w:type="continuationSeparator" w:id="0">
    <w:p w:rsidR="002E3D22" w:rsidRDefault="002E3D22"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22" w:rsidRDefault="002E3D22" w:rsidP="00343CCA">
      <w:pPr>
        <w:spacing w:after="0" w:line="240" w:lineRule="auto"/>
      </w:pPr>
      <w:r>
        <w:separator/>
      </w:r>
    </w:p>
  </w:footnote>
  <w:footnote w:type="continuationSeparator" w:id="0">
    <w:p w:rsidR="002E3D22" w:rsidRDefault="002E3D22"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2E3D22"/>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57EAF"/>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2024-10-16T11:46:00Z</dcterms:created>
  <dcterms:modified xsi:type="dcterms:W3CDTF">2024-10-16T11:46:00Z</dcterms:modified>
</cp:coreProperties>
</file>