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8116C8"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8116C8">
              <w:rPr>
                <w:rFonts w:ascii="Times New Roman" w:eastAsia="Times New Roman" w:hAnsi="Times New Roman" w:cs="Times New Roman"/>
                <w:sz w:val="24"/>
                <w:szCs w:val="24"/>
                <w:lang w:eastAsia="ru-RU"/>
              </w:rPr>
              <w:t xml:space="preserve">6В01507 </w:t>
            </w:r>
            <w:proofErr w:type="spellStart"/>
            <w:r w:rsidRPr="008116C8">
              <w:rPr>
                <w:rFonts w:ascii="Times New Roman" w:eastAsia="Times New Roman" w:hAnsi="Times New Roman" w:cs="Times New Roman"/>
                <w:sz w:val="24"/>
                <w:szCs w:val="24"/>
                <w:lang w:eastAsia="ru-RU"/>
              </w:rPr>
              <w:t>Chemistry-Biology</w:t>
            </w:r>
            <w:bookmarkEnd w:id="0"/>
            <w:proofErr w:type="spellEnd"/>
          </w:p>
        </w:tc>
      </w:tr>
      <w:tr w:rsidR="006200D1" w:rsidRPr="008116C8"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8116C8"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116C8">
              <w:rPr>
                <w:rFonts w:ascii="Times New Roman" w:hAnsi="Times New Roman" w:cs="Times New Roman"/>
                <w:sz w:val="24"/>
                <w:szCs w:val="24"/>
                <w:lang w:val="en-US"/>
              </w:rPr>
              <w:t>Training of highly qualified, competitive teaching staff in the field of chemistry and biology, with practical skills and leadership qualities, through the introduction of innovative learning technologies capable of further continuous self-education and improvement of professional knowledge, skills and abilities.</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0F30ED"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0F30ED">
              <w:rPr>
                <w:rFonts w:ascii="Times New Roman" w:eastAsia="Times New Roman" w:hAnsi="Times New Roman"/>
                <w:sz w:val="24"/>
                <w:szCs w:val="24"/>
                <w:lang w:eastAsia="ru-RU"/>
              </w:rPr>
              <w:t>New</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8116C8"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8116C8"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8116C8">
              <w:rPr>
                <w:rFonts w:ascii="Times New Roman" w:eastAsia="Calibri" w:hAnsi="Times New Roman" w:cs="Times New Roman"/>
                <w:b w:val="0"/>
                <w:iCs/>
                <w:sz w:val="24"/>
                <w:szCs w:val="24"/>
                <w:lang w:val="en-US" w:eastAsia="ru-RU"/>
              </w:rPr>
              <w:t>Form judgments during chemical analysis and interpretation of experimental data obtained during laboratory work and link them with the relevant theory;</w:t>
            </w:r>
          </w:p>
        </w:tc>
      </w:tr>
      <w:tr w:rsidR="00290F64" w:rsidRPr="008116C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16C8"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16C8">
              <w:rPr>
                <w:rFonts w:ascii="Times New Roman" w:eastAsia="Calibri" w:hAnsi="Times New Roman" w:cs="Times New Roman"/>
                <w:sz w:val="24"/>
                <w:szCs w:val="24"/>
                <w:shd w:val="clear" w:color="auto" w:fill="FFFFFF"/>
                <w:lang w:val="en-US"/>
              </w:rPr>
              <w:t>Apply knowledge about the basics of chemical kinetics and catalysis in practice, based on systems thinking and a critical approach to solving problems in physical and colloidal chemistry;</w:t>
            </w:r>
          </w:p>
        </w:tc>
      </w:tr>
      <w:tr w:rsidR="00290F64" w:rsidRPr="008116C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16C8"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116C8">
              <w:rPr>
                <w:rFonts w:ascii="Times New Roman" w:hAnsi="Times New Roman"/>
                <w:bCs/>
                <w:iCs/>
                <w:sz w:val="24"/>
                <w:szCs w:val="24"/>
                <w:lang w:val="kk-KZ"/>
              </w:rPr>
              <w:t>To use the acquired knowledge of the theoretical foundations of chemistry for independent continuation of further education and application in professional activities.</w:t>
            </w:r>
          </w:p>
        </w:tc>
      </w:tr>
      <w:tr w:rsidR="00290F64" w:rsidRPr="008116C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16C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16C8">
              <w:rPr>
                <w:rFonts w:ascii="Times New Roman" w:hAnsi="Times New Roman"/>
                <w:bCs/>
                <w:iCs/>
                <w:sz w:val="24"/>
                <w:szCs w:val="24"/>
                <w:lang w:val="en-US"/>
              </w:rPr>
              <w:t>Develop short-term and long-term curricula using innovative pedagogical methods, including digital technologies, criteria-based assessment and distance learning.</w:t>
            </w:r>
          </w:p>
        </w:tc>
      </w:tr>
      <w:tr w:rsidR="00290F64" w:rsidRPr="008116C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16C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116C8">
              <w:rPr>
                <w:rFonts w:ascii="Times New Roman" w:hAnsi="Times New Roman"/>
                <w:bCs/>
                <w:iCs/>
                <w:sz w:val="24"/>
                <w:szCs w:val="24"/>
                <w:lang w:val="en-US"/>
              </w:rPr>
              <w:t>Express an active civic position in interpersonal and intercultural communication in a multilingual environment based on fundamental knowledge and skills in the field of social, political, cultural, psychological sciences in the context of their role in the modernization and digitalization of Kazakhstan society; have the ability to use regulatory and legal documents in their activities.</w:t>
            </w:r>
          </w:p>
        </w:tc>
      </w:tr>
      <w:tr w:rsidR="00290F64" w:rsidRPr="008116C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16C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16C8">
              <w:rPr>
                <w:rFonts w:ascii="Times New Roman" w:hAnsi="Times New Roman"/>
                <w:bCs/>
                <w:iCs/>
                <w:sz w:val="24"/>
                <w:szCs w:val="24"/>
                <w:lang w:val="en-US" w:eastAsia="ru-RU"/>
              </w:rPr>
              <w:t>Possess the principles of taxonomy of microorganisms, plants, animals; knowledge about their adaptation to environmental conditions, diversity and basic distribution patterns.</w:t>
            </w:r>
          </w:p>
        </w:tc>
      </w:tr>
      <w:tr w:rsidR="00290F64" w:rsidRPr="008116C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16C8"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8116C8">
              <w:rPr>
                <w:rFonts w:ascii="Times New Roman" w:hAnsi="Times New Roman"/>
                <w:bCs/>
                <w:iCs/>
                <w:sz w:val="24"/>
                <w:szCs w:val="24"/>
                <w:lang w:val="en-US"/>
              </w:rPr>
              <w:t xml:space="preserve">To use the acquired knowledge on the types and mechanisms of organic reactions and biochemical metabolic processes to explain the essence of </w:t>
            </w:r>
            <w:r w:rsidRPr="008116C8">
              <w:rPr>
                <w:rFonts w:ascii="Times New Roman" w:hAnsi="Times New Roman"/>
                <w:bCs/>
                <w:iCs/>
                <w:sz w:val="24"/>
                <w:szCs w:val="24"/>
                <w:lang w:val="en-US"/>
              </w:rPr>
              <w:lastRenderedPageBreak/>
              <w:t>chemical transformations occurring in organisms.</w:t>
            </w:r>
          </w:p>
        </w:tc>
      </w:tr>
      <w:tr w:rsidR="00290F64" w:rsidRPr="008116C8"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16C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16C8">
              <w:rPr>
                <w:rFonts w:ascii="Times New Roman" w:hAnsi="Times New Roman"/>
                <w:bCs/>
                <w:iCs/>
                <w:sz w:val="24"/>
                <w:szCs w:val="24"/>
                <w:lang w:val="en-US"/>
              </w:rPr>
              <w:t>Analyze the features of the morphological structure of plants and animals, the organ system, methods for predicting the physiological state of living organisms.</w:t>
            </w:r>
          </w:p>
        </w:tc>
      </w:tr>
      <w:tr w:rsidR="00290F64" w:rsidRPr="008116C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8116C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16C8">
              <w:rPr>
                <w:rFonts w:ascii="Times New Roman" w:hAnsi="Times New Roman"/>
                <w:bCs/>
                <w:iCs/>
                <w:sz w:val="24"/>
                <w:szCs w:val="24"/>
                <w:lang w:val="en-US"/>
              </w:rPr>
              <w:t>To organize the educational process in the context of the updated content of secondary education, taking into account the physiological and functional characteristics of development processes and the individual educational needs of students.</w:t>
            </w:r>
          </w:p>
        </w:tc>
      </w:tr>
      <w:tr w:rsidR="008116C8" w:rsidRPr="008116C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8116C8" w:rsidRPr="008116C8" w:rsidRDefault="008116C8"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8116C8" w:rsidRPr="008116C8" w:rsidRDefault="008116C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16C8">
              <w:rPr>
                <w:rFonts w:ascii="Times New Roman" w:hAnsi="Times New Roman"/>
                <w:bCs/>
                <w:iCs/>
                <w:sz w:val="24"/>
                <w:szCs w:val="24"/>
                <w:lang w:val="en-US"/>
              </w:rPr>
              <w:t>To draw general conclusions about the principles of synthesis of inorganic and organic compounds and polymers, applying theoretical knowledge of chemical and technological processes.</w:t>
            </w:r>
          </w:p>
        </w:tc>
      </w:tr>
      <w:tr w:rsidR="008116C8" w:rsidRPr="008116C8"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8116C8" w:rsidRPr="008116C8" w:rsidRDefault="008116C8"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8116C8" w:rsidRPr="008116C8" w:rsidRDefault="008116C8"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8116C8">
              <w:rPr>
                <w:rFonts w:ascii="Times New Roman" w:hAnsi="Times New Roman"/>
                <w:bCs/>
                <w:iCs/>
                <w:sz w:val="24"/>
                <w:szCs w:val="24"/>
                <w:lang w:val="en-US"/>
              </w:rPr>
              <w:t>To systematize and broadcast knowledge about the laws of heredity and variability, about the mechanisms of reproduction and realization of genetic information and the system of replication, transcription and translation</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DA" w:rsidRDefault="00222ADA" w:rsidP="00343CCA">
      <w:pPr>
        <w:spacing w:after="0" w:line="240" w:lineRule="auto"/>
      </w:pPr>
      <w:r>
        <w:separator/>
      </w:r>
    </w:p>
  </w:endnote>
  <w:endnote w:type="continuationSeparator" w:id="0">
    <w:p w:rsidR="00222ADA" w:rsidRDefault="00222ADA"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DA" w:rsidRDefault="00222ADA" w:rsidP="00343CCA">
      <w:pPr>
        <w:spacing w:after="0" w:line="240" w:lineRule="auto"/>
      </w:pPr>
      <w:r>
        <w:separator/>
      </w:r>
    </w:p>
  </w:footnote>
  <w:footnote w:type="continuationSeparator" w:id="0">
    <w:p w:rsidR="00222ADA" w:rsidRDefault="00222ADA"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2ADA"/>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16C8"/>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2024-10-16T09:49:00Z</dcterms:created>
  <dcterms:modified xsi:type="dcterms:W3CDTF">2024-10-16T09:49:00Z</dcterms:modified>
</cp:coreProperties>
</file>