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67B22" w:rsidRPr="00811AF2" w:rsidTr="008C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A366CC" w:rsidRPr="00F67B22" w:rsidRDefault="003858E2" w:rsidP="003F0C28">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366CC" w:rsidRPr="00F67B22">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A366CC" w:rsidRPr="00F50E49" w:rsidRDefault="00F50E49" w:rsidP="003F0C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pacing w:val="2"/>
                <w:sz w:val="24"/>
                <w:szCs w:val="24"/>
                <w:lang w:val="kk-KZ" w:eastAsia="ru-RU"/>
              </w:rPr>
              <w:t xml:space="preserve"> </w:t>
            </w:r>
            <w:r w:rsidRPr="00F50E49">
              <w:rPr>
                <w:rFonts w:ascii="Times New Roman" w:eastAsia="Times New Roman" w:hAnsi="Times New Roman" w:cs="Times New Roman"/>
                <w:spacing w:val="2"/>
                <w:sz w:val="24"/>
                <w:szCs w:val="24"/>
                <w:lang w:val="kk-KZ" w:eastAsia="ru-RU"/>
              </w:rPr>
              <w:t>7M04203 Jurisprudence: criminal-law direction</w:t>
            </w:r>
          </w:p>
        </w:tc>
      </w:tr>
      <w:tr w:rsidR="00F67B22" w:rsidRPr="00811AF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purpose </w:t>
            </w:r>
          </w:p>
        </w:tc>
        <w:tc>
          <w:tcPr>
            <w:tcW w:w="9355" w:type="dxa"/>
          </w:tcPr>
          <w:p w:rsidR="00A366CC" w:rsidRPr="00F67B22" w:rsidRDefault="00E1789B"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E1789B">
              <w:rPr>
                <w:rFonts w:ascii="Times New Roman" w:eastAsia="Times New Roman" w:hAnsi="Times New Roman" w:cs="Times New Roman"/>
                <w:sz w:val="24"/>
                <w:szCs w:val="24"/>
                <w:lang w:val="en-US" w:eastAsia="ru-RU"/>
              </w:rPr>
              <w:t>high-quality</w:t>
            </w:r>
            <w:proofErr w:type="gramEnd"/>
            <w:r w:rsidRPr="00E1789B">
              <w:rPr>
                <w:rFonts w:ascii="Times New Roman" w:eastAsia="Times New Roman" w:hAnsi="Times New Roman" w:cs="Times New Roman"/>
                <w:sz w:val="24"/>
                <w:szCs w:val="24"/>
                <w:lang w:val="en-US" w:eastAsia="ru-RU"/>
              </w:rPr>
              <w:t xml:space="preserve"> training of highly qualified masters with a high level of legal culture and legal awareness, fundamental knowledge and professional competencies in the development and implementation of regulatory legal acts, ensuring the rule of law and order, legal training and education.</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type</w:t>
            </w:r>
          </w:p>
        </w:tc>
        <w:tc>
          <w:tcPr>
            <w:tcW w:w="9355" w:type="dxa"/>
          </w:tcPr>
          <w:p w:rsidR="00A366CC" w:rsidRPr="00A958C9" w:rsidRDefault="00F50E49"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50E49">
              <w:rPr>
                <w:rFonts w:ascii="Times New Roman" w:eastAsia="Times New Roman" w:hAnsi="Times New Roman" w:cs="Times New Roman"/>
                <w:sz w:val="24"/>
                <w:szCs w:val="24"/>
                <w:lang w:val="kk-KZ" w:eastAsia="ru-RU"/>
              </w:rPr>
              <w:t xml:space="preserve">New </w:t>
            </w:r>
            <w:r w:rsidR="00A958C9">
              <w:rPr>
                <w:rFonts w:ascii="Times New Roman" w:eastAsia="Times New Roman" w:hAnsi="Times New Roman" w:cs="Times New Roman"/>
                <w:sz w:val="24"/>
                <w:szCs w:val="24"/>
                <w:lang w:val="en-US" w:eastAsia="ru-RU"/>
              </w:rPr>
              <w:t xml:space="preserve"> </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Level on NQF</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Level on SQF</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EP distinctive features</w:t>
            </w:r>
          </w:p>
        </w:tc>
        <w:tc>
          <w:tcPr>
            <w:tcW w:w="9355" w:type="dxa"/>
          </w:tcPr>
          <w:p w:rsidR="00A366CC" w:rsidRPr="00A958C9" w:rsidRDefault="00A366CC" w:rsidP="00A958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kk-KZ" w:eastAsia="ru-RU"/>
              </w:rPr>
              <w:t xml:space="preserve">Collaborative </w:t>
            </w:r>
            <w:r w:rsidR="00A958C9">
              <w:rPr>
                <w:rFonts w:ascii="Times New Roman" w:eastAsia="Times New Roman" w:hAnsi="Times New Roman" w:cs="Times New Roman"/>
                <w:sz w:val="24"/>
                <w:szCs w:val="24"/>
                <w:lang w:val="en-US" w:eastAsia="ru-RU"/>
              </w:rPr>
              <w:t xml:space="preserve"> </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The awarded academic degree</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Master</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Period of study</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2</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Volume of the credits</w:t>
            </w:r>
          </w:p>
        </w:tc>
        <w:tc>
          <w:tcPr>
            <w:tcW w:w="9355" w:type="dxa"/>
          </w:tcPr>
          <w:p w:rsidR="00A366CC" w:rsidRPr="00F67B22" w:rsidRDefault="00A366CC"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67B22">
              <w:rPr>
                <w:rFonts w:ascii="Times New Roman" w:eastAsia="Times New Roman" w:hAnsi="Times New Roman" w:cs="Times New Roman"/>
                <w:sz w:val="24"/>
                <w:szCs w:val="24"/>
                <w:lang w:val="en-US" w:eastAsia="ru-RU"/>
              </w:rPr>
              <w:t>120</w:t>
            </w:r>
          </w:p>
        </w:tc>
      </w:tr>
      <w:tr w:rsidR="00F67B22"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Language of education</w:t>
            </w:r>
          </w:p>
        </w:tc>
        <w:tc>
          <w:tcPr>
            <w:tcW w:w="9355" w:type="dxa"/>
          </w:tcPr>
          <w:p w:rsidR="00A366CC" w:rsidRPr="00F50E49" w:rsidRDefault="00F50E49"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en-US" w:eastAsia="ru-RU"/>
              </w:rPr>
              <w:t>Russian</w:t>
            </w:r>
            <w:r w:rsidRPr="002552C1">
              <w:rPr>
                <w:rFonts w:ascii="Times New Roman" w:eastAsia="Times New Roman" w:hAnsi="Times New Roman" w:cs="Times New Roman"/>
                <w:sz w:val="24"/>
                <w:szCs w:val="24"/>
                <w:lang w:eastAsia="ru-RU"/>
              </w:rPr>
              <w:t xml:space="preserve">, </w:t>
            </w:r>
            <w:r w:rsidRPr="002552C1">
              <w:rPr>
                <w:rFonts w:ascii="Times New Roman" w:eastAsia="Times New Roman" w:hAnsi="Times New Roman" w:cs="Times New Roman"/>
                <w:sz w:val="24"/>
                <w:szCs w:val="24"/>
                <w:lang w:val="en-US" w:eastAsia="ru-RU"/>
              </w:rPr>
              <w:t>Kazakh</w:t>
            </w:r>
            <w:r w:rsidRPr="002552C1">
              <w:rPr>
                <w:rFonts w:ascii="Times New Roman" w:eastAsia="Times New Roman" w:hAnsi="Times New Roman" w:cs="Times New Roman"/>
                <w:sz w:val="24"/>
                <w:szCs w:val="24"/>
                <w:lang w:eastAsia="ru-RU"/>
              </w:rPr>
              <w:t>,</w:t>
            </w:r>
            <w:r w:rsidRPr="002552C1">
              <w:rPr>
                <w:rFonts w:ascii="Times New Roman" w:eastAsia="Times New Roman" w:hAnsi="Times New Roman" w:cs="Times New Roman"/>
                <w:sz w:val="24"/>
                <w:szCs w:val="24"/>
                <w:lang w:val="en-US" w:eastAsia="ru-RU"/>
              </w:rPr>
              <w:t xml:space="preserve"> English</w:t>
            </w:r>
          </w:p>
        </w:tc>
      </w:tr>
      <w:tr w:rsidR="00754F7B" w:rsidRPr="00F67B22" w:rsidTr="008C7D5A">
        <w:tc>
          <w:tcPr>
            <w:cnfStyle w:val="001000000000" w:firstRow="0" w:lastRow="0" w:firstColumn="1" w:lastColumn="0" w:oddVBand="0" w:evenVBand="0" w:oddHBand="0" w:evenHBand="0" w:firstRowFirstColumn="0" w:firstRowLastColumn="0" w:lastRowFirstColumn="0" w:lastRowLastColumn="0"/>
            <w:tcW w:w="5524" w:type="dxa"/>
          </w:tcPr>
          <w:p w:rsidR="00754F7B" w:rsidRPr="00754F7B" w:rsidRDefault="00754F7B" w:rsidP="00583613">
            <w:pPr>
              <w:rPr>
                <w:rFonts w:ascii="Times New Roman" w:hAnsi="Times New Roman" w:cs="Times New Roman"/>
                <w:sz w:val="24"/>
                <w:szCs w:val="24"/>
                <w:lang w:val="en-US"/>
              </w:rPr>
            </w:pPr>
            <w:r w:rsidRPr="00754F7B">
              <w:rPr>
                <w:rFonts w:ascii="Times New Roman" w:hAnsi="Times New Roman" w:cs="Times New Roman"/>
                <w:sz w:val="24"/>
                <w:szCs w:val="24"/>
                <w:lang w:val="en-US"/>
              </w:rPr>
              <w:t>Date of approval of the OP at the Board meeting</w:t>
            </w:r>
          </w:p>
        </w:tc>
        <w:tc>
          <w:tcPr>
            <w:tcW w:w="9355" w:type="dxa"/>
          </w:tcPr>
          <w:p w:rsidR="00754F7B" w:rsidRPr="00811AF2" w:rsidRDefault="00877011" w:rsidP="00F50E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w:t>
            </w:r>
            <w:r w:rsidR="00811AF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811AF2">
              <w:rPr>
                <w:rFonts w:ascii="Times New Roman" w:eastAsia="Times New Roman" w:hAnsi="Times New Roman" w:cs="Times New Roman"/>
                <w:sz w:val="24"/>
                <w:szCs w:val="24"/>
                <w:lang w:val="kk-KZ" w:eastAsia="ru-RU"/>
              </w:rPr>
              <w:t>5</w:t>
            </w:r>
            <w:bookmarkStart w:id="0" w:name="_GoBack"/>
            <w:bookmarkEnd w:id="0"/>
          </w:p>
        </w:tc>
      </w:tr>
      <w:tr w:rsidR="00F67B22" w:rsidRPr="00811AF2" w:rsidTr="008C7D5A">
        <w:tc>
          <w:tcPr>
            <w:cnfStyle w:val="001000000000" w:firstRow="0" w:lastRow="0" w:firstColumn="1" w:lastColumn="0" w:oddVBand="0" w:evenVBand="0" w:oddHBand="0" w:evenHBand="0" w:firstRowFirstColumn="0" w:firstRowLastColumn="0" w:lastRowFirstColumn="0" w:lastRowLastColumn="0"/>
            <w:tcW w:w="5524" w:type="dxa"/>
          </w:tcPr>
          <w:p w:rsidR="00A366CC" w:rsidRPr="00F67B22" w:rsidRDefault="00A366CC" w:rsidP="003F0C28">
            <w:pPr>
              <w:shd w:val="clear" w:color="auto" w:fill="FFFFFF"/>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Professional standard</w:t>
            </w:r>
          </w:p>
        </w:tc>
        <w:tc>
          <w:tcPr>
            <w:tcW w:w="9355" w:type="dxa"/>
          </w:tcPr>
          <w:p w:rsidR="00A366CC" w:rsidRPr="00877011" w:rsidRDefault="00877011" w:rsidP="003F0C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77011">
              <w:rPr>
                <w:rFonts w:ascii="Times New Roman" w:eastAsia="Times New Roman" w:hAnsi="Times New Roman" w:cs="Times New Roman"/>
                <w:sz w:val="24"/>
                <w:szCs w:val="24"/>
                <w:lang w:val="kk-KZ" w:eastAsia="ru-RU"/>
              </w:rPr>
              <w:t>Professional standard: Teacher (faculty) of higher and (or) postgraduate education organizations</w:t>
            </w:r>
            <w:r>
              <w:rPr>
                <w:rFonts w:ascii="Times New Roman" w:eastAsia="Times New Roman" w:hAnsi="Times New Roman" w:cs="Times New Roman"/>
                <w:sz w:val="24"/>
                <w:szCs w:val="24"/>
                <w:lang w:val="en-US" w:eastAsia="ru-RU"/>
              </w:rPr>
              <w:t xml:space="preserve"> 20.11.2023</w:t>
            </w:r>
          </w:p>
        </w:tc>
      </w:tr>
    </w:tbl>
    <w:tbl>
      <w:tblPr>
        <w:tblStyle w:val="GridTable1LightAccent1"/>
        <w:tblpPr w:leftFromText="180" w:rightFromText="180" w:vertAnchor="text" w:horzAnchor="margin" w:tblpY="256"/>
        <w:tblW w:w="14850" w:type="dxa"/>
        <w:tblLayout w:type="fixed"/>
        <w:tblLook w:val="04A0" w:firstRow="1" w:lastRow="0" w:firstColumn="1" w:lastColumn="0" w:noHBand="0" w:noVBand="1"/>
      </w:tblPr>
      <w:tblGrid>
        <w:gridCol w:w="701"/>
        <w:gridCol w:w="14149"/>
      </w:tblGrid>
      <w:tr w:rsidR="008C7D5A" w:rsidRPr="00F67B22" w:rsidTr="008C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hideMark/>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w:t>
            </w:r>
          </w:p>
        </w:tc>
        <w:tc>
          <w:tcPr>
            <w:tcW w:w="14149" w:type="dxa"/>
            <w:tcBorders>
              <w:top w:val="single" w:sz="4" w:space="0" w:color="auto"/>
              <w:left w:val="single" w:sz="4" w:space="0" w:color="auto"/>
              <w:bottom w:val="single" w:sz="4" w:space="0" w:color="auto"/>
              <w:right w:val="single" w:sz="4" w:space="0" w:color="auto"/>
            </w:tcBorders>
            <w:hideMark/>
          </w:tcPr>
          <w:p w:rsidR="008C7D5A" w:rsidRPr="00F67B22" w:rsidRDefault="008C7D5A" w:rsidP="008C7D5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ab/>
            </w:r>
            <w:r w:rsidRPr="00F67B22">
              <w:rPr>
                <w:rFonts w:ascii="Times New Roman" w:eastAsia="Times New Roman" w:hAnsi="Times New Roman" w:cs="Times New Roman"/>
                <w:sz w:val="24"/>
                <w:szCs w:val="24"/>
                <w:lang w:eastAsia="ru-RU"/>
              </w:rPr>
              <w:tab/>
            </w:r>
            <w:r w:rsidRPr="00F67B22">
              <w:rPr>
                <w:rFonts w:ascii="Times New Roman" w:eastAsia="Times New Roman" w:hAnsi="Times New Roman" w:cs="Times New Roman"/>
                <w:sz w:val="24"/>
                <w:szCs w:val="24"/>
                <w:lang w:val="kk-KZ" w:eastAsia="ru-RU"/>
              </w:rPr>
              <w:t>Learning outcomes:</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1</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94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83D1C">
              <w:rPr>
                <w:rFonts w:ascii="Times New Roman" w:eastAsia="Times New Roman" w:hAnsi="Times New Roman" w:cs="Times New Roman"/>
                <w:sz w:val="24"/>
                <w:szCs w:val="24"/>
                <w:lang w:val="en-US" w:eastAsia="ru-RU"/>
              </w:rPr>
              <w:t>to show an active citizenship in interpersonal and intercultural communication in a multilingual environment based on fundamental knowledge and skills in the field of psychology, philosophy and pedagogy;</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2</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27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83D1C">
              <w:rPr>
                <w:rFonts w:ascii="Times New Roman" w:eastAsia="Times New Roman" w:hAnsi="Times New Roman" w:cs="Times New Roman"/>
                <w:sz w:val="24"/>
                <w:szCs w:val="24"/>
                <w:lang w:val="en-US" w:eastAsia="ru-RU"/>
              </w:rPr>
              <w:t>carry out theoretical and applied research and development at a high level, making a significant contribution to the creation of new ideas, approaches and methods of teaching and analysis of state and legal phenomena;</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eastAsia="ru-RU"/>
              </w:rPr>
            </w:pPr>
            <w:r w:rsidRPr="00F67B22">
              <w:rPr>
                <w:rFonts w:ascii="Times New Roman" w:eastAsia="Times New Roman" w:hAnsi="Times New Roman" w:cs="Times New Roman"/>
                <w:sz w:val="24"/>
                <w:szCs w:val="24"/>
                <w:lang w:eastAsia="ru-RU"/>
              </w:rPr>
              <w:t>3</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448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to</w:t>
            </w:r>
            <w:proofErr w:type="gramEnd"/>
            <w:r w:rsidRPr="00783D1C">
              <w:rPr>
                <w:rFonts w:ascii="Times New Roman" w:eastAsia="Times New Roman" w:hAnsi="Times New Roman" w:cs="Times New Roman"/>
                <w:sz w:val="24"/>
                <w:szCs w:val="24"/>
                <w:lang w:val="en-US" w:eastAsia="ru-RU"/>
              </w:rPr>
              <w:t xml:space="preserve"> distinguish and classify the problems of legal regulation of the theory and practice of criminal, criminal procedure, criminal executive law and other related institutions of law.</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4</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382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have</w:t>
            </w:r>
            <w:proofErr w:type="gramEnd"/>
            <w:r w:rsidRPr="00783D1C">
              <w:rPr>
                <w:rFonts w:ascii="Times New Roman" w:eastAsia="Times New Roman" w:hAnsi="Times New Roman" w:cs="Times New Roman"/>
                <w:sz w:val="24"/>
                <w:szCs w:val="24"/>
                <w:lang w:val="en-US" w:eastAsia="ru-RU"/>
              </w:rPr>
              <w:t xml:space="preserve"> the skills to analyze, interpret and apply the norms of criminal, criminal procedural, criminal executive law, as well as identify gaps and contradictions in legislation in this area.</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5</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783D1C"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783D1C">
              <w:rPr>
                <w:rFonts w:ascii="Times New Roman" w:eastAsia="Times New Roman" w:hAnsi="Times New Roman" w:cs="Times New Roman"/>
                <w:sz w:val="24"/>
                <w:szCs w:val="24"/>
                <w:lang w:val="en-US" w:eastAsia="ru-RU"/>
              </w:rPr>
              <w:t>have</w:t>
            </w:r>
            <w:proofErr w:type="gramEnd"/>
            <w:r w:rsidRPr="00783D1C">
              <w:rPr>
                <w:rFonts w:ascii="Times New Roman" w:eastAsia="Times New Roman" w:hAnsi="Times New Roman" w:cs="Times New Roman"/>
                <w:sz w:val="24"/>
                <w:szCs w:val="24"/>
                <w:lang w:val="en-US" w:eastAsia="ru-RU"/>
              </w:rPr>
              <w:t xml:space="preserve"> the skills to analyze scientific papers and research in the field of criminal, criminal procedure, criminal executive law in the theoretical and practical segment.</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6</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4D0319">
              <w:rPr>
                <w:rFonts w:ascii="Times New Roman" w:eastAsia="Times New Roman" w:hAnsi="Times New Roman" w:cs="Times New Roman"/>
                <w:sz w:val="24"/>
                <w:szCs w:val="24"/>
                <w:lang w:val="en-US" w:eastAsia="ru-RU"/>
              </w:rPr>
              <w:t>implement</w:t>
            </w:r>
            <w:proofErr w:type="gramEnd"/>
            <w:r w:rsidRPr="004D0319">
              <w:rPr>
                <w:rFonts w:ascii="Times New Roman" w:eastAsia="Times New Roman" w:hAnsi="Times New Roman" w:cs="Times New Roman"/>
                <w:sz w:val="24"/>
                <w:szCs w:val="24"/>
                <w:lang w:val="en-US" w:eastAsia="ru-RU"/>
              </w:rPr>
              <w:t xml:space="preserve"> a negotiating mechanism to resolve pre-trial disputes.</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7</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D0319">
              <w:rPr>
                <w:rFonts w:ascii="Times New Roman" w:hAnsi="Times New Roman" w:cs="Times New Roman"/>
                <w:sz w:val="24"/>
                <w:szCs w:val="24"/>
                <w:lang w:val="en-US"/>
              </w:rPr>
              <w:t>to analyze the activities of state bodies to ensure the legality of the application of the norms of criminal, criminal procedural and criminal-executive law, as well as to analyze judicial practice in these areas.</w:t>
            </w:r>
          </w:p>
        </w:tc>
      </w:tr>
      <w:tr w:rsidR="008C7D5A" w:rsidRPr="00811AF2" w:rsidTr="008C7D5A">
        <w:tc>
          <w:tcPr>
            <w:cnfStyle w:val="001000000000" w:firstRow="0" w:lastRow="0" w:firstColumn="1" w:lastColumn="0" w:oddVBand="0" w:evenVBand="0" w:oddHBand="0" w:evenHBand="0" w:firstRowFirstColumn="0" w:firstRowLastColumn="0" w:lastRowFirstColumn="0" w:lastRowLastColumn="0"/>
            <w:tcW w:w="701" w:type="dxa"/>
            <w:tcBorders>
              <w:top w:val="single" w:sz="4" w:space="0" w:color="auto"/>
              <w:left w:val="single" w:sz="4" w:space="0" w:color="auto"/>
              <w:bottom w:val="single" w:sz="4" w:space="0" w:color="auto"/>
              <w:right w:val="single" w:sz="4" w:space="0" w:color="auto"/>
            </w:tcBorders>
          </w:tcPr>
          <w:p w:rsidR="008C7D5A" w:rsidRPr="00F67B22" w:rsidRDefault="008C7D5A" w:rsidP="008C7D5A">
            <w:pPr>
              <w:spacing w:before="75"/>
              <w:jc w:val="center"/>
              <w:rPr>
                <w:rFonts w:ascii="Times New Roman" w:eastAsia="Times New Roman" w:hAnsi="Times New Roman" w:cs="Times New Roman"/>
                <w:sz w:val="24"/>
                <w:szCs w:val="24"/>
                <w:lang w:val="kk-KZ" w:eastAsia="ru-RU"/>
              </w:rPr>
            </w:pPr>
            <w:r w:rsidRPr="00F67B22">
              <w:rPr>
                <w:rFonts w:ascii="Times New Roman" w:eastAsia="Times New Roman" w:hAnsi="Times New Roman" w:cs="Times New Roman"/>
                <w:sz w:val="24"/>
                <w:szCs w:val="24"/>
                <w:lang w:val="kk-KZ" w:eastAsia="ru-RU"/>
              </w:rPr>
              <w:t>8</w:t>
            </w:r>
          </w:p>
        </w:tc>
        <w:tc>
          <w:tcPr>
            <w:tcW w:w="14149" w:type="dxa"/>
            <w:tcBorders>
              <w:top w:val="single" w:sz="4" w:space="0" w:color="auto"/>
              <w:left w:val="single" w:sz="4" w:space="0" w:color="auto"/>
              <w:bottom w:val="single" w:sz="4" w:space="0" w:color="auto"/>
              <w:right w:val="single" w:sz="4" w:space="0" w:color="auto"/>
            </w:tcBorders>
          </w:tcPr>
          <w:p w:rsidR="008C7D5A" w:rsidRPr="00F67B22" w:rsidRDefault="004D0319" w:rsidP="008C7D5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D0319">
              <w:rPr>
                <w:rFonts w:ascii="Times New Roman" w:eastAsia="Times New Roman" w:hAnsi="Times New Roman" w:cs="Times New Roman"/>
                <w:sz w:val="24"/>
                <w:szCs w:val="24"/>
                <w:lang w:val="kk-KZ" w:eastAsia="ru-RU"/>
              </w:rPr>
              <w:t>have the skills of investigating and solving crimes using special knowledge, techniques and methods;</w:t>
            </w:r>
          </w:p>
        </w:tc>
      </w:tr>
    </w:tbl>
    <w:p w:rsidR="00EB42D3" w:rsidRPr="00A366CC" w:rsidRDefault="00EB42D3" w:rsidP="00A958C9">
      <w:pPr>
        <w:rPr>
          <w:lang w:val="kk-KZ"/>
        </w:rPr>
      </w:pPr>
    </w:p>
    <w:sectPr w:rsidR="00EB42D3" w:rsidRPr="00A366CC" w:rsidSect="00A958C9">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C"/>
    <w:rsid w:val="003858E2"/>
    <w:rsid w:val="004D0319"/>
    <w:rsid w:val="00754F7B"/>
    <w:rsid w:val="00783D1C"/>
    <w:rsid w:val="007C10D2"/>
    <w:rsid w:val="00811AF2"/>
    <w:rsid w:val="00877011"/>
    <w:rsid w:val="008C7D5A"/>
    <w:rsid w:val="00A366CC"/>
    <w:rsid w:val="00A958C9"/>
    <w:rsid w:val="00E1789B"/>
    <w:rsid w:val="00EB42D3"/>
    <w:rsid w:val="00F36489"/>
    <w:rsid w:val="00F50E49"/>
    <w:rsid w:val="00F6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001</cp:lastModifiedBy>
  <cp:revision>4</cp:revision>
  <dcterms:created xsi:type="dcterms:W3CDTF">2024-10-15T11:12:00Z</dcterms:created>
  <dcterms:modified xsi:type="dcterms:W3CDTF">2025-09-04T12:00:00Z</dcterms:modified>
</cp:coreProperties>
</file>