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51F79">
      <w:pPr>
        <w:tabs>
          <w:tab w:val="left" w:pos="1227"/>
        </w:tabs>
        <w:spacing w:after="0" w:line="240" w:lineRule="auto"/>
        <w:ind w:firstLine="567"/>
        <w:jc w:val="both"/>
        <w:rPr>
          <w:rFonts w:ascii="Times New Roman" w:hAnsi="Times New Roman" w:cs="Times New Roman" w:eastAsiaTheme="majorEastAsia"/>
          <w:b/>
          <w:bCs/>
          <w:color w:val="000000" w:themeColor="text1"/>
          <w:sz w:val="28"/>
          <w:szCs w:val="28"/>
          <w:lang w:val="kk-KZ"/>
          <w14:textFill>
            <w14:solidFill>
              <w14:schemeClr w14:val="tx1"/>
            </w14:solidFill>
          </w14:textFill>
        </w:rPr>
      </w:pPr>
      <w:r>
        <w:rPr>
          <w:rFonts w:ascii="Times New Roman" w:hAnsi="Times New Roman" w:cs="Times New Roman" w:eastAsiaTheme="majorEastAsia"/>
          <w:b/>
          <w:bCs/>
          <w:color w:val="000000" w:themeColor="text1"/>
          <w:sz w:val="28"/>
          <w:szCs w:val="28"/>
          <w:lang w:val="kk-KZ"/>
          <w14:textFill>
            <w14:solidFill>
              <w14:schemeClr w14:val="tx1"/>
            </w14:solidFill>
          </w14:textFill>
        </w:rPr>
        <w:t>Есейқызы Ұлжалғастың 8D01504 – «Информатика» білім беру бағдарламасы бойынша философия докторы (PhD) дәрежесін алуға ұсынылған «Болашақ информатика мұғалімдерін оқытуда геймификация элементтерін қолданудың әдістемелік ерекшеліктері» тақырыбындағы диссертациясының</w:t>
      </w:r>
    </w:p>
    <w:p w14:paraId="4419437D">
      <w:pPr>
        <w:tabs>
          <w:tab w:val="left" w:pos="1227"/>
        </w:tabs>
        <w:spacing w:after="0" w:line="240" w:lineRule="auto"/>
        <w:ind w:firstLine="567"/>
        <w:jc w:val="both"/>
        <w:rPr>
          <w:rFonts w:ascii="Times New Roman" w:hAnsi="Times New Roman" w:cs="Times New Roman" w:eastAsiaTheme="majorEastAsia"/>
          <w:b/>
          <w:bCs/>
          <w:color w:val="000000" w:themeColor="text1"/>
          <w:sz w:val="28"/>
          <w:szCs w:val="28"/>
          <w:lang w:val="kk-KZ"/>
          <w14:textFill>
            <w14:solidFill>
              <w14:schemeClr w14:val="tx1"/>
            </w14:solidFill>
          </w14:textFill>
        </w:rPr>
      </w:pPr>
    </w:p>
    <w:p w14:paraId="18467B84">
      <w:pPr>
        <w:tabs>
          <w:tab w:val="left" w:pos="1227"/>
        </w:tabs>
        <w:spacing w:after="0" w:line="240" w:lineRule="auto"/>
        <w:ind w:firstLine="567"/>
        <w:jc w:val="center"/>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
          <w:bCs/>
          <w:color w:val="000000" w:themeColor="text1"/>
          <w:sz w:val="28"/>
          <w:szCs w:val="28"/>
          <w:lang w:val="kk-KZ"/>
          <w14:textFill>
            <w14:solidFill>
              <w14:schemeClr w14:val="tx1"/>
            </w14:solidFill>
          </w14:textFill>
        </w:rPr>
        <w:t>АҢДАТПАСЫ</w:t>
      </w:r>
    </w:p>
    <w:p w14:paraId="42B078CB">
      <w:pPr>
        <w:tabs>
          <w:tab w:val="left" w:pos="1227"/>
        </w:tabs>
        <w:spacing w:after="0" w:line="240" w:lineRule="auto"/>
        <w:ind w:firstLine="709"/>
        <w:jc w:val="both"/>
        <w:rPr>
          <w:rFonts w:ascii="Times New Roman" w:hAnsi="Times New Roman" w:cs="Times New Roman" w:eastAsiaTheme="majorEastAsia"/>
          <w:b/>
          <w:bCs/>
          <w:color w:val="000000" w:themeColor="text1"/>
          <w:sz w:val="28"/>
          <w:szCs w:val="28"/>
          <w:lang w:val="kk-KZ"/>
          <w14:textFill>
            <w14:solidFill>
              <w14:schemeClr w14:val="tx1"/>
            </w14:solidFill>
          </w14:textFill>
        </w:rPr>
      </w:pPr>
      <w:r>
        <w:rPr>
          <w:rFonts w:ascii="Times New Roman" w:hAnsi="Times New Roman" w:cs="Times New Roman" w:eastAsiaTheme="majorEastAsia"/>
          <w:b/>
          <w:bCs/>
          <w:color w:val="000000" w:themeColor="text1"/>
          <w:sz w:val="28"/>
          <w:szCs w:val="28"/>
          <w:lang w:val="kk-KZ"/>
          <w14:textFill>
            <w14:solidFill>
              <w14:schemeClr w14:val="tx1"/>
            </w14:solidFill>
          </w14:textFill>
        </w:rPr>
        <w:t>Зерттеудің өзектілігі.</w:t>
      </w:r>
    </w:p>
    <w:p w14:paraId="078A4219">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Заманауи қоғам болашақ педагогтерден пәндік білімді меңгерумен қатар, алған білімін нақты педагогикалық жағдайларда қолдана алатын, цифрлық білім беру ортасында жұмыс істей алатын, оқыту мазмұнын тиімді ұйымдастыра білетін, білім алушылардың белсенділігі мен оқу жетістігін қолдайтын кәсіби құзыретті тұлға болуын талап етіп отыр. Жоғары педагогикалық білім беруде кәсіби даярлықтың әдіснамалық өзегі ретінде құзыреттілік парадигмасы орнықты. Бұл парадигма білім нәтижесін ақпаратты қайта айту деңгейімен емес, нақты кәсіби жағдаятта әрекет ете алу қабілетімен байланыстырады. Сондықтан болашақ педагогтерді даярлау пәндік білімді меңгертумен ғана шектелмей, цифрлық ортада оқытуды жобалау, білім алушы әрекетін ұйымдастыру, оқу нәтижесін бағалау және кәсіби шешім қабылдау қабілеттерін кешенді қалыптастыруды қажет етеді.</w:t>
      </w:r>
    </w:p>
    <w:p w14:paraId="1E811D34">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Бұл мәселенің өзектілігі Қазақстан Республикасының нормативтік құжаттарымен негізделеді. Атап айтсақ, </w:t>
      </w:r>
      <w:r>
        <w:rPr>
          <w:rFonts w:ascii="Times New Roman" w:hAnsi="Times New Roman" w:cs="Times New Roman"/>
          <w:color w:val="000000" w:themeColor="text1"/>
          <w:sz w:val="28"/>
          <w:szCs w:val="28"/>
          <w:lang w:val="kk-KZ"/>
          <w14:textFill>
            <w14:solidFill>
              <w14:schemeClr w14:val="tx1"/>
            </w14:solidFill>
          </w14:textFill>
        </w:rPr>
        <w:t>Қазақстан Республикасының «Білім туралы» Заңында білім беру жүйесінің негізгі міндеттерінің бірі ретінде оқытудың жаңа технологияларын енгізу, білім беруді ақпараттандыру және оқытудың тиімді әдістерін пайдалану қарастырылған</w:t>
      </w: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 </w:t>
      </w:r>
    </w:p>
    <w:p w14:paraId="41E0813B">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Қазақстан Республикасында жоғары білімді және ғылымды дамытудың 2023–2029 жылдарға арналған тұжырымдамасында жоғары білімнің цифрлық архитектурасын дамыту басым бағыттардың бірі ретінде белгіленген. </w:t>
      </w:r>
    </w:p>
    <w:p w14:paraId="377B456C">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Аталған тұжырымдамада білім беру бағдарламаларын жаңғырту, цифрлық қоғам сұранысына бейім құзыреттерді қалыптастыру және белсенді, тәжірибеге бағдарланған оқыту модельдерін күшейту қажеттігі айқындалады. Сонымен қатар онда жоғары оқу орындарында геймификациямен және жекелендірумен бейімделген оқу процесін қамтамасыз ететін интеграцияланған білім беру платформаларын құру мәселесінің қарастырылуы геймификацияның мемлекеттік деңгейде өзекті педагогикалық бағыт ретінде танылып отырғанын көрсетеді.</w:t>
      </w:r>
    </w:p>
    <w:p w14:paraId="4665DC94">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Жоғары және жоғары оқу орнынан кейінгі білім берудің мемлекеттік жалпыға міндетті стандартында құзыреттілік оқу процесінде алған білімді кәсіби қызметте практикалық тұрғыда пайдалана білу қабілеті ретінде сипатталады.</w:t>
      </w:r>
    </w:p>
    <w:p w14:paraId="3F11C85F">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«Педагог мәртебесі туралы» Қазақстан Республикасының Заңында педагогтің кәсіби міндеттерінің бірі ретінде оқытудың инновациялық технологияларын, оның ішінде цифрлық құралдарды үздіксіз меңгеру заңнамалық деңгейде бекітілген.</w:t>
      </w:r>
    </w:p>
    <w:p w14:paraId="6E9EF0DB">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Осы заңда педагогтің міндеті білім алушылардың өмірлік дағдыларын, негізгі құзыреттерін, өздігінен жұмыс істеу қабілетін және шығармашылық әлеуетін дамытуға бағытталған кәсіби қызметпен де байланыстырылады. Бұл педагогті тек білім беруші емес, білім алушының жан-жақты дамуына ықпал ететін кәсіби тұлға ретінде қарастыруға мүмкіндік береді.</w:t>
      </w:r>
    </w:p>
    <w:p w14:paraId="029BB3D2">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 Стратегиялық бағыттар да бұл міндетті нақтылай түседі. Қазақстан Республикасы Президенті Қ.К.Тоқаевтың 2024 жылғы 2 қыркүйектегі Қазақстан халқына Жолдауында мектептер мен жоғары оқу орындарында цифрлық сауаттылық негіздерін үйрететін бағдарламаларды енгізу қажеттігі атап өтілді. </w:t>
      </w:r>
    </w:p>
    <w:p w14:paraId="12420E2E">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Сонымен қатар, 2025 жылғы «Жасанды интеллект дәуіріндегі Қазақстан» атты Жолдауында ғылым, білім және инновацияны өзара байланысты дамыту мәселесі мемлекеттік басымдық ретінде белгіленді. Жолдауларға сәйкес болашақ педагогтердің жасанды интеллект, интерактивті платформалар және цифрлық оқыту орталарын кәсіби деңгейде жобалай алуы нақты міндетке айналып отыр.</w:t>
      </w:r>
    </w:p>
    <w:p w14:paraId="4DF13D23">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Қазақстан Республикасының 2029 жылға дейінгі ұлттық даму жоспары да адами капиталдың сапасын арттыруды, білім беру жүйесін цифрлық трансформациялауды және цифрлық технологияларды тиімді пайдалана алатын мамандар даярлауды мемлекеттің стратегиялық басымдықтары қатарына жатқызады. Ал жасанды интеллектіні дамытудың 2024–2029 жылдарға арналған тұжырымдамасы білім беру жүйесіне интеллектуалды цифрлық технологияларды енгізуді, дербестендірілген оқыту траекторияларын қалыптастыруды және цифрлық құзыреттіліктерді дамытуды нақты міндет ретінде белгілейді.</w:t>
      </w:r>
    </w:p>
    <w:p w14:paraId="27C080D5">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Педагогтерді кәсіби цифрлық даярлау мәселесі халықаралық деңгейде де арнайы құжаттар арқылы негізделген. DigCompEdu рамкасы педагогтің цифрлық құзыреттілігін тек техникалық операцияларды орындау қабілеті ретінде емес, цифрлық ресурстарды іріктеу, оқытуды ұйымдастыру, бағалау жүргізу және білім алушының дербестігін қолдау қабілеті ретінде түсіндіреді. </w:t>
      </w:r>
    </w:p>
    <w:p w14:paraId="7D0BCF78">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ISTE стандарттары да педагогті цифрлық технологияны қолданушы ғана емес, оқытуды жобалаушы, білім алушының дербес оқуын қолдаушы, оқу нәтижелерін талдаушы және цифрлық ортада жауапты әрекет етуге бағыт беруші маман ретінде сипаттайды. </w:t>
      </w:r>
    </w:p>
    <w:p w14:paraId="295597C6">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UNESCO ICT Competency Framework for Teachers құжатында педагогтің цифрлық құзыреттілігі ақпараттық коммуникациялық технологияларды оқу мен оқыту процесіне тиімді кіріктіру, цифрлық білім беру ресурстарын қолдану, білім алушылардың цифрлық сауаттылығын дамыту және кәсіби қызметті жетілдіру мақсатында технологияларды саналы пайдалану қабілеті ретінде қарастырылады.</w:t>
      </w:r>
    </w:p>
    <w:p w14:paraId="4900031F">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Аталған халықаралық және ұлттық талаптар болашақ мұғалімінің кәсіби даярлығына жоғары талаптар қояды. Алайда бұл құжаттар көбіне «нені қалыптастыру қажет?» деген сұраққа жауап бергенімен, «оны қалай қалыптастыру қажет?» деген әдістемелік мәселені толық шешпейді. Нормативтік талаптардың айқындылығы олардың автоматты түрде оқу практикасына айналуын білдірмейді. Бұл алшақтық, әсіресе, информатика мұғалімдерін даярлау саласында айқын байқалады, өйткені информатика пәні теориялық білімді ғана емес, әрекетке негізделген цифрлық, алгоритмдік және жобалық тәжірибені талап етеді.</w:t>
      </w:r>
    </w:p>
    <w:p w14:paraId="270707B1">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Цифрлық технологиялардың белсенді енгізілуі дәстүрлі оқыту тәсілдерін қайта қарауды талап етіп, оқу процесін ұйымдастырудың жаңа педагогикалық әдістерін іздестіруді өзекті етеді. Осындай әдістердің бірі оқушының оқу мотивациясын арттыруға негізделген ойын әдістері болып табылады.</w:t>
      </w:r>
    </w:p>
    <w:p w14:paraId="51E4A9BA">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Ғылыми әдебиеттерде ойын тәрбиелік, мәдени, когнитивтік және экзистенциалдық мағыналарды қамтитын көпқабатты феномен ретінде сипатталады. Психологиялық тұрғыдан Жан Пиаже ойынды баланың интеллектуалдық дамуының табиғи механизмі ретінде қарастырды. Ч. Конрадттың «Жұмысты ойын түрінде ұйымдастыру» атты еңбегінде жұмыс процесіне ойын және бәсекелестік элементтерін енгізу арқылы мотивация мен өнімділікті арттыру тұжырымдамасы ұсынылған.</w:t>
      </w:r>
    </w:p>
    <w:p w14:paraId="637DE026">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Қазақстандық зерттеушілер ойын және интерактивті технологияларды болашақ педагогтердің кәсіби және цифрлық құзыреттерін дамытуға ықпал ететін тиімді педагогикалық құрал ретінде қарастырады. Мәселен, Ж. Амантай мен Д. Ермаков жоғары білім беру жағдайында ойындар, кейстер және тренингтер болашақ мамандардың коммуникация, ынтымақтастық және сыни ойлау сияқты маңызды дағдыларын қалыптастырудың ең тиімді тәсілдерінің қатарына жататынын атап көрсетеді. </w:t>
      </w:r>
    </w:p>
    <w:p w14:paraId="75DBFA88">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Болон процесі енгізіліп бағдарламалар жаңартылғаннан кейін оқу процесіне ойын элементтерін жаңа форматта енгізу мәселесі туындай бастады. Сондықтан, болашақ мұғалімдерді кәсіби тұлға ретінде қалыптастыру үшін ойын элементтері әрқашан өзекті болып отыр. Ойын элементтері арқылы ынтымақтастық, жауапкершілік, адалдық сияқты құндылықтарды дамытуға болады. Шебер мұғалім әрқашан білім сапасын арттыру үшін ойын элементтерін қолданып келген. </w:t>
      </w:r>
    </w:p>
    <w:p w14:paraId="6395B7A0">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Ойын мен таным арасындағы тарихи байланыстың жалғасын геймификация деп түсіндіруге негіз бар. Геймификация – ойын феноменінің тарихи-мәдени, философиялық және психологиялық негіздерінен туындайтын пәнаралық құбылыс. Осыған орай, геймификация элементтерін оқу процесіне сыртқы ойындық безендіру ретінде емес, мақсат қою, кезеңдеу, кері байланыс, прогресті көрсету және оқу мотивациясын қолдау механизмі ретінде енгізу маңызды. </w:t>
      </w:r>
    </w:p>
    <w:p w14:paraId="58BFFEE8">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Геймификацияның теориялық негіздерін С.Детердинг, Д.Диксон, Р.Халед, Л.Нэкли, К.Капп, К.Вербах мен Д.Хантер, Ю.Хамари, Й.Койвисто, Х.Сарса, Д.Дичева мен Г.Ангелова, К.Сиборн мен Д.Фелс, А.Тода және т.б. ғалымдар зерттеген. Бұл зерттеушілер «ойын дизайн» элементтерін ойыннан тыс ортада қолдану деп анықтап, оның оқу мотивациясы мен белсенділікке тигізетін ықпалын зерттеген.</w:t>
      </w:r>
    </w:p>
    <w:p w14:paraId="12333071">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Геймификацияның психологиялық негіздерін зерттеуде Э.Деси мен Р.Райан, М.Чиксентмихайи, А.Бандура, В.Врум, Э.Локк пен Г.Лэтэм, Дж.Свеллер, П.Пинтрич, Д.Шунк, Р.Ландерс, М.Сейлер, Э.Меклер және т.б. еңбектері жетекші орын алады. Бұл зерттеулер оқу мотивациясы, автономия, ағын күйі, өзіндік тиімділік және когнитивтік жүктеме ұғымдарын геймификацияланған ортаның тиімділігін түсіндіретін теориялық база ретінде ұсынған.</w:t>
      </w:r>
    </w:p>
    <w:p w14:paraId="4707DC40">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Геймификацияның педагогикалық негіздерін зерттеуде С.Детердинг, </w:t>
      </w:r>
      <w:r>
        <w:rPr>
          <w:rFonts w:ascii="Times New Roman" w:hAnsi="Times New Roman" w:cs="Times New Roman" w:eastAsiaTheme="majorEastAsia"/>
          <w:bCs/>
          <w:color w:val="000000" w:themeColor="text1"/>
          <w:sz w:val="28"/>
          <w:szCs w:val="28"/>
          <w:lang w:val="kk-KZ"/>
          <w14:textFill>
            <w14:solidFill>
              <w14:schemeClr w14:val="tx1"/>
            </w14:solidFill>
          </w14:textFill>
        </w:rPr>
        <w:br w:type="textWrapping"/>
      </w: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К.Вербах, К.Капп, С.Николсон, К.Хуотари, Ю.Хамари, Г.Зихерман, </w:t>
      </w:r>
      <w:r>
        <w:rPr>
          <w:rFonts w:ascii="Times New Roman" w:hAnsi="Times New Roman" w:cs="Times New Roman" w:eastAsiaTheme="majorEastAsia"/>
          <w:bCs/>
          <w:color w:val="000000" w:themeColor="text1"/>
          <w:sz w:val="28"/>
          <w:szCs w:val="28"/>
          <w:lang w:val="kk-KZ"/>
          <w14:textFill>
            <w14:solidFill>
              <w14:schemeClr w14:val="tx1"/>
            </w14:solidFill>
          </w14:textFill>
        </w:rPr>
        <w:br w:type="textWrapping"/>
      </w:r>
      <w:r>
        <w:rPr>
          <w:rFonts w:ascii="Times New Roman" w:hAnsi="Times New Roman" w:cs="Times New Roman" w:eastAsiaTheme="majorEastAsia"/>
          <w:bCs/>
          <w:color w:val="000000" w:themeColor="text1"/>
          <w:sz w:val="28"/>
          <w:szCs w:val="28"/>
          <w:lang w:val="kk-KZ"/>
          <w14:textFill>
            <w14:solidFill>
              <w14:schemeClr w14:val="tx1"/>
            </w14:solidFill>
          </w14:textFill>
        </w:rPr>
        <w:t>К.Каннингем, Дж.Макгонигал, Н.Уиттон және т.б. еңбектері білім беру процесінде  ойын элементтерін мақсатты қолдану, оқу белсенділігін арттыру, білім алушылардың қатысуын күшейту және оқу нәтижелеріне қол жеткізуді қолдау тұрғысынан маңызды теориялық-әдістемелік негіз болып табылады.</w:t>
      </w:r>
    </w:p>
    <w:p w14:paraId="45A212B3">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Геймификация осы контексте болашақ информатика мұғалімдерін даярлаудағы бірқатар әдістемелік қиындықтарды жұмсартуға мүмкіндік беретін педагогикалық тетік ретінде қарастырылады. Алайда геймификация элементтері өздігінен оқу сапасын арттырмайды. Олар оқу мақсатына, мазмұнға, бағалауға, кері байланысқа және білім алушының оқу әрекетіне кіріктірілген жағдайда ғана нәтижелі болады. Сондықтан қазіргі кезеңдегі негізгі мәселе геймификация элементтерінің бар немесе жоқ болуы емес, олардың болашақ мұғалімнің кәсіби даярлығын дамытуға бағытталған тұтас әдістемелік жүйеге айналу деңгейі болып отыр.</w:t>
      </w:r>
    </w:p>
    <w:p w14:paraId="19738929">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Халықаралық ғылыми әдебиетте геймификацияның ұпай, бейдж, рейтинг сияқты сыртқы элементтермен ғана шектеліп қалу қаупі жиі талқыланады. Д.Дичева және т.б. жоғары білім беру тәжірибесінде осы элементтердің басым қолданылатынын көрсетіп, мұндай тарылту мағыналы тапсырмаларды, кезеңделген прогресті және дербес шешім қабылдау тәжірибесін назардан тыс қалдыруы мүмкін екенін негіздейді. Дегенмен Б.Хуан және К.Ф.Хью PBL элементтерін бастапқы қатысуды күшейтудің прагматикалық тетігі ретінде бағалай отырып, оларды толық жоққа шығаруға болмайтынын атап өтеді. Бұл тұжырымдар мәселенің ұпай мен бейдждің өзінде емес, олардың қандай педагогикалық логикада және қандай оқу нәтижесіне бағытталып қолданылатынында екенін айқындайды.</w:t>
      </w:r>
    </w:p>
    <w:p w14:paraId="2F766A4E">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Осы тұрғыдан С.Николсон ұсынған мағыналы геймификация ұстанымы ерекше мәнге ие. Бұл ұстаным геймификация элементтерін сыртқы ынталандыру құралы ретінде емес, білім алушының оқу әрекетін мағыналандыратын, таңдау жасауына мүмкіндік беретін, формативті кері байланыспен сүйемелденетін және нақты оқу нәтижесімен байланысатын педагогикалық дизайн ретінде қарастыруды ұсынады. Болашақ информатика мұғалімдерін даярлау жағдайында бұл ұстаным ерекше маңызды, себебі мұнда геймификация білім алушыны тек оқу тапсырмасын орындаушы ретінде емес, болашақта өзі геймификацияланған оқыту ортасын жобалай алатын педагог ретінде қалыптастыруы тиіс.</w:t>
      </w:r>
    </w:p>
    <w:p w14:paraId="1F717A3A">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Болашақ мұғалімдерді цифрлық ортада даярлау, технологияны педагогикалық мақсатпен қолдану мәселелерін Л.Шульман, М.Ниесс, Дж.Воогт пен П.Фиссер, Дж.Тондёр, П.Эртмер мен А.Оттенбрейт-Лефтвич, Дж.Винг, Ш.Гровер, К.Бреннан мен М.Резник, М.Гуздиал, П.Мишра мен М.Кёлер және т.б. зерттеді.</w:t>
      </w:r>
    </w:p>
    <w:p w14:paraId="4E14EC0A">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Қазақстандық ғылыми кеңістікте білім беруді ақпараттандыру және информатиканы оқыту әдістемесі, цифрлық педагогика мәселелерін Г.Нургалиева, Б.Баймуханов, Е.Артықбаева, А.Тажигулова, Е.Бидайбеков, М.Серік, Ж.Нұрбекова, Г.Салгараева, А.Сагимбаева, Б.Сыдыков, Г.Жарасова, Н.Оспанова, Д.Исабаева, К.Беркімбаев, Ж.Жалғасбекова, О.Оманова, М.Қаратаева, Г.Омашова және т.б. зерттеді. Зерттеушілер Қазақстан жағдайында информатика мұғалімдерін кәсіби даярлау, цифрлық білім беру ортасын ұйымдастыру, STEM бағытындағы педагогтерді даярлау мәселелерін қарастырды.</w:t>
      </w:r>
    </w:p>
    <w:p w14:paraId="0B09541C">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Қазақстандық зерттеушілер болашақ информатика мұғалімдерін даярлау мен геймификация арасындағы байланысты бірнеше бағытта зерттеген. Цифрлық технологиялар арқылы мұғалім даярлауды зерттеген А.Альжанов, Р.Ахитова болашақ информатика мұғалімдерінің кәсіби құзыреттілігін дамытуда цифрлық және интерактивті технологиялардың рөлін негіздейді. Авторлар интерактивті мобильді кейс технологиялардың болашақ информатика мұғалімдерінің коммуникативтік, шығармашылық және проблема шешу дағдыларын дамытуға ықпал ететінін көрсетеді. Бұл цифрлық технологиялардың болашақ мұғалімнің кәсіби даярлығында тек техникалық құрал емес, педагогикалық әрекетті ұйымдастырушы орта ретінде қолданылуы қажет екенін дәлелдейді.</w:t>
      </w:r>
    </w:p>
    <w:p w14:paraId="466C3460">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Осы бағытты одан әрі кеңейте отырып, А.Давлетова, Ж.Төлегенова және т.б. болашақ педагогтердің цифрлық мәдениетін қалыптастыруда ашық білім беру ортасының мүмкіндіктерін сипаттайды. Аталмыш жұмыстар бір-бірін толықтырып, цифрлық дайындықтың жеке технологияларды меңгеруден гөрі кең ауқымды феномен екенін айқындайды.</w:t>
      </w:r>
    </w:p>
    <w:p w14:paraId="276E51D1">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Мұғалімдердің цифрлық сауаттылығы мәселесіне арнайы тоқталған М.Темірханова, Г.Абильдинова және С.Каража педагогтің өз цифрлық дайындығы оқушылардың тиісті құзыреттіліктерін қалыптастырудың алғышарты болатынын дәлелдейді. Осы бағыттағы зерттеулер Р.Кадирбаева, А.Давлетова, Г.Абильдинова, Ж. Жалғасбекова, С.Жолдасбекова мен М.Қаратаева, Л. Жайдақбаева еңбектерінде де жалғасын тапқан. Сонымен қатар, С.Сеитова, Е.Смагулов және басқа да ғалымдардың зерттеулерінде цифрлық білім беру ортасы, STEM-білім беру, информатика мұғалімдерін кәсіби даярлау және педагогтердің цифрлық құзыреттілігін дамыту мәселелері қарастырылған.</w:t>
      </w:r>
    </w:p>
    <w:p w14:paraId="25E8F81C">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Н.Токжигитова, А.Садыкова, А.Токжигитова және Н.Оспанова информатика пәнін оқытуда геймификация технологиясын қолданудың педагогикалық негіздерін қарастырып, оның білім алушылардың танымдық белсенділігі мен оқу мотивациясына тигізетін оң ықпалын нақты мысалдармен дәлелдейді. Бұл зерттеу геймификацияны тек ойын-сауық құралы ретінде емес, дидактикалық тәсіл ретінде қарастыруға теориялық негіз береді. Сонымен қатар, С. Кенесбаев, А.Альжанов, Ж.Төлегенова, А.Алдабергенова, Н.Балтабаева, К.Абдиев және т.б. ғалымдардың еңбектерінде білім беру үдерісінде цифрлық және инновациялық технологияларды қолдану мәселелері қарастырылған.</w:t>
      </w:r>
    </w:p>
    <w:p w14:paraId="25380E31">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Э.Абдыкеримова мен Г.Калиева геймификацияны білім алушылардың оқу мотивациясы мен танымдық белсенділігін арттыратын тиімді педагогикалық құрал ретінде қарастырады және оны жүзеге асыруға мүмкіндік беретін заманауи цифрлық платформаларды жүйелейді. </w:t>
      </w:r>
    </w:p>
    <w:p w14:paraId="5BD9E507">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Қарастырылған зерттеулерде геймификация көбіне жалпы білім беру немесе оқу мотивациясын арттыру контекстінде бағаланады. Ғалымдардың еңбектерін зерттеу нәтижесінде оқытуда геймификацияны қолдану жан-жақты қарастырылып зерттелгенін байқадық. Әйтсе де, болашақ информатика мұғалімдерін оқытуда геймификация элементтерін қолданудың әдістемелік ерекшеліктерін негіздеу әлі де болса зерттеуді қажет ететін мәселе болып табылады. Осы мәселе мынандай </w:t>
      </w:r>
      <w:r>
        <w:rPr>
          <w:rFonts w:ascii="Times New Roman" w:hAnsi="Times New Roman" w:cs="Times New Roman" w:eastAsiaTheme="majorEastAsia"/>
          <w:b/>
          <w:bCs/>
          <w:color w:val="000000" w:themeColor="text1"/>
          <w:sz w:val="28"/>
          <w:szCs w:val="28"/>
          <w:lang w:val="kk-KZ"/>
          <w14:textFill>
            <w14:solidFill>
              <w14:schemeClr w14:val="tx1"/>
            </w14:solidFill>
          </w14:textFill>
        </w:rPr>
        <w:t>қарама-қайшылықтарды</w:t>
      </w: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 тудырды: </w:t>
      </w:r>
    </w:p>
    <w:p w14:paraId="2951D6B8">
      <w:pPr>
        <w:numPr>
          <w:ilvl w:val="0"/>
          <w:numId w:val="1"/>
        </w:numPr>
        <w:tabs>
          <w:tab w:val="left" w:pos="567"/>
        </w:tabs>
        <w:spacing w:after="0" w:line="240" w:lineRule="auto"/>
        <w:ind w:left="0"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заманауи цифрлық ресурстардың көптігі мен оларды кәсіби тұлғаны қалыптастыруда қолдану қажеттілігі арасында;</w:t>
      </w:r>
    </w:p>
    <w:p w14:paraId="5A5DF504">
      <w:pPr>
        <w:numPr>
          <w:ilvl w:val="0"/>
          <w:numId w:val="1"/>
        </w:numPr>
        <w:tabs>
          <w:tab w:val="left" w:pos="567"/>
        </w:tabs>
        <w:spacing w:after="0" w:line="240" w:lineRule="auto"/>
        <w:ind w:left="0"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геймификация элементтерінің білім берудегі потенциалының жоғары болуы мен оларды болашақ информатика мұғалімдерінің қолдануына ғылыми-әдістемелік негізделуінің жеткілікті жүйеленбеуі арасында; </w:t>
      </w:r>
    </w:p>
    <w:p w14:paraId="4E0338A5">
      <w:pPr>
        <w:numPr>
          <w:ilvl w:val="0"/>
          <w:numId w:val="1"/>
        </w:numPr>
        <w:tabs>
          <w:tab w:val="left" w:pos="567"/>
        </w:tabs>
        <w:spacing w:after="0" w:line="240" w:lineRule="auto"/>
        <w:ind w:left="0"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болашақ педагогтерді дайындауда геймификация элементтерін қолданудың қажеттілігі мен оны қолдану әдістемесінің жеткіліксіздігі арасында.</w:t>
      </w:r>
    </w:p>
    <w:p w14:paraId="774B68F1">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Анықталған қарама-қайшылықтар </w:t>
      </w:r>
      <w:r>
        <w:rPr>
          <w:rFonts w:ascii="Times New Roman" w:hAnsi="Times New Roman" w:cs="Times New Roman" w:eastAsiaTheme="majorEastAsia"/>
          <w:b/>
          <w:bCs/>
          <w:color w:val="000000" w:themeColor="text1"/>
          <w:sz w:val="28"/>
          <w:szCs w:val="28"/>
          <w:lang w:val="kk-KZ"/>
          <w14:textFill>
            <w14:solidFill>
              <w14:schemeClr w14:val="tx1"/>
            </w14:solidFill>
          </w14:textFill>
        </w:rPr>
        <w:t>зерттеу  проблемасын</w:t>
      </w: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 былай анықтады: геймификация элементтерін болашақ информатика мұғалімдерін оқытуда қолданудың әдістемелік ерекшелігі неде және ол кәсіби құзыреттіліктің   қалыптасуына қалай әсер етеді?</w:t>
      </w:r>
    </w:p>
    <w:p w14:paraId="6B8A743E">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Бұл зерттеу жұмысының тақырыбын </w:t>
      </w:r>
      <w:r>
        <w:rPr>
          <w:rFonts w:ascii="Times New Roman" w:hAnsi="Times New Roman" w:cs="Times New Roman" w:eastAsiaTheme="majorEastAsia"/>
          <w:b/>
          <w:bCs/>
          <w:color w:val="000000" w:themeColor="text1"/>
          <w:sz w:val="28"/>
          <w:szCs w:val="28"/>
          <w:lang w:val="kk-KZ"/>
          <w14:textFill>
            <w14:solidFill>
              <w14:schemeClr w14:val="tx1"/>
            </w14:solidFill>
          </w14:textFill>
        </w:rPr>
        <w:t xml:space="preserve">«Болашақ информатика мұғалімдерін оқытуда геймификация элементтерін қолданудың әдістемелік ерекшеліктері» </w:t>
      </w:r>
      <w:r>
        <w:rPr>
          <w:rFonts w:ascii="Times New Roman" w:hAnsi="Times New Roman" w:cs="Times New Roman" w:eastAsiaTheme="majorEastAsia"/>
          <w:bCs/>
          <w:color w:val="000000" w:themeColor="text1"/>
          <w:sz w:val="28"/>
          <w:szCs w:val="28"/>
          <w:lang w:val="kk-KZ"/>
          <w14:textFill>
            <w14:solidFill>
              <w14:schemeClr w14:val="tx1"/>
            </w14:solidFill>
          </w14:textFill>
        </w:rPr>
        <w:t>деп алуға негіз болды.</w:t>
      </w:r>
    </w:p>
    <w:p w14:paraId="376F7345">
      <w:pPr>
        <w:tabs>
          <w:tab w:val="left" w:pos="1227"/>
        </w:tabs>
        <w:spacing w:after="0" w:line="240" w:lineRule="auto"/>
        <w:ind w:firstLine="709"/>
        <w:jc w:val="both"/>
        <w:rPr>
          <w:rFonts w:ascii="Times New Roman" w:hAnsi="Times New Roman" w:cs="Times New Roman" w:eastAsiaTheme="majorEastAsia"/>
          <w:b/>
          <w:bCs/>
          <w:color w:val="000000" w:themeColor="text1"/>
          <w:sz w:val="28"/>
          <w:szCs w:val="28"/>
          <w:lang w:val="kk-KZ"/>
          <w14:textFill>
            <w14:solidFill>
              <w14:schemeClr w14:val="tx1"/>
            </w14:solidFill>
          </w14:textFill>
        </w:rPr>
      </w:pPr>
      <w:r>
        <w:rPr>
          <w:rFonts w:ascii="Times New Roman" w:hAnsi="Times New Roman" w:cs="Times New Roman" w:eastAsiaTheme="majorEastAsia"/>
          <w:b/>
          <w:bCs/>
          <w:color w:val="000000" w:themeColor="text1"/>
          <w:sz w:val="28"/>
          <w:szCs w:val="28"/>
          <w:lang w:val="kk-KZ"/>
          <w14:textFill>
            <w14:solidFill>
              <w14:schemeClr w14:val="tx1"/>
            </w14:solidFill>
          </w14:textFill>
        </w:rPr>
        <w:t xml:space="preserve">Зерттеудің мақсаты – </w:t>
      </w:r>
      <w:r>
        <w:rPr>
          <w:rFonts w:ascii="Times New Roman" w:hAnsi="Times New Roman" w:cs="Times New Roman" w:eastAsiaTheme="majorEastAsia"/>
          <w:color w:val="000000" w:themeColor="text1"/>
          <w:sz w:val="28"/>
          <w:szCs w:val="28"/>
          <w:lang w:val="kk-KZ"/>
          <w14:textFill>
            <w14:solidFill>
              <w14:schemeClr w14:val="tx1"/>
            </w14:solidFill>
          </w14:textFill>
        </w:rPr>
        <w:t>болашақ информатика мұғалімдерін даярлау процесінде геймификация элементтерін қолданудың әдістемелік ерекшеліктерін анықтау, олардың кәсіби құзыреттілігін қалыптастыруға бағытталған әдістемені әзірлеу және тәжірибелік-эксперименттік жұмыс арқылы тиімділігін негіздеу.</w:t>
      </w:r>
    </w:p>
    <w:p w14:paraId="02A1DBCF">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
          <w:bCs/>
          <w:color w:val="000000" w:themeColor="text1"/>
          <w:sz w:val="28"/>
          <w:szCs w:val="28"/>
          <w:lang w:val="kk-KZ"/>
          <w14:textFill>
            <w14:solidFill>
              <w14:schemeClr w14:val="tx1"/>
            </w14:solidFill>
          </w14:textFill>
        </w:rPr>
        <w:t>Зерттеудің нысаны</w:t>
      </w:r>
      <w:r>
        <w:rPr>
          <w:rFonts w:ascii="Times New Roman" w:hAnsi="Times New Roman" w:cs="Times New Roman" w:eastAsiaTheme="majorEastAsia"/>
          <w:bCs/>
          <w:color w:val="000000" w:themeColor="text1"/>
          <w:sz w:val="28"/>
          <w:szCs w:val="28"/>
          <w:lang w:val="kk-KZ"/>
          <w14:textFill>
            <w14:solidFill>
              <w14:schemeClr w14:val="tx1"/>
            </w14:solidFill>
          </w14:textFill>
        </w:rPr>
        <w:t>: жоғары педагогикалық білім беру жүйесінде болашақ информатика мұғалімдерін оқыту процесі.</w:t>
      </w:r>
    </w:p>
    <w:p w14:paraId="32DE5CE6">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
          <w:bCs/>
          <w:color w:val="000000" w:themeColor="text1"/>
          <w:sz w:val="28"/>
          <w:szCs w:val="28"/>
          <w:lang w:val="kk-KZ"/>
          <w14:textFill>
            <w14:solidFill>
              <w14:schemeClr w14:val="tx1"/>
            </w14:solidFill>
          </w14:textFill>
        </w:rPr>
        <w:t>Зерттеудің пәні:</w:t>
      </w: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 болашақ информатика мұғалімдерінің кәсіби құзыреттілігін қалыптастыруда геймификация элементтерін қолдану әдістемесі.</w:t>
      </w:r>
    </w:p>
    <w:p w14:paraId="0A103194">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
          <w:bCs/>
          <w:color w:val="000000" w:themeColor="text1"/>
          <w:sz w:val="28"/>
          <w:szCs w:val="28"/>
          <w:lang w:val="kk-KZ"/>
          <w14:textFill>
            <w14:solidFill>
              <w14:schemeClr w14:val="tx1"/>
            </w14:solidFill>
          </w14:textFill>
        </w:rPr>
        <w:t>Зерттеудің ғылыми болжамы</w:t>
      </w:r>
      <w:r>
        <w:rPr>
          <w:rFonts w:ascii="Times New Roman" w:hAnsi="Times New Roman" w:cs="Times New Roman" w:eastAsiaTheme="majorEastAsia"/>
          <w:bCs/>
          <w:color w:val="000000" w:themeColor="text1"/>
          <w:sz w:val="28"/>
          <w:szCs w:val="28"/>
          <w:lang w:val="kk-KZ"/>
          <w14:textFill>
            <w14:solidFill>
              <w14:schemeClr w14:val="tx1"/>
            </w14:solidFill>
          </w14:textFill>
        </w:rPr>
        <w:t>:</w:t>
      </w:r>
    </w:p>
    <w:p w14:paraId="6C81B791">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
          <w:bCs/>
          <w:color w:val="000000" w:themeColor="text1"/>
          <w:sz w:val="28"/>
          <w:szCs w:val="28"/>
          <w:lang w:val="kk-KZ"/>
          <w14:textFill>
            <w14:solidFill>
              <w14:schemeClr w14:val="tx1"/>
            </w14:solidFill>
          </w14:textFill>
        </w:rPr>
        <w:t xml:space="preserve">Егер </w:t>
      </w: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болашақ информатика мұғалімдерін даярлау процесінде геймификация элементтерін қолдану олардың бір мезгілде білім алушы және болашақ педагог ретіндегі қызметін жүзеге асыруға мүмкіндік беретін «қос рөлдік практика» форматы негізінде ұйымдастырылса, </w:t>
      </w:r>
      <w:r>
        <w:rPr>
          <w:rFonts w:ascii="Times New Roman" w:hAnsi="Times New Roman" w:cs="Times New Roman" w:eastAsiaTheme="majorEastAsia"/>
          <w:b/>
          <w:bCs/>
          <w:color w:val="000000" w:themeColor="text1"/>
          <w:sz w:val="28"/>
          <w:szCs w:val="28"/>
          <w:lang w:val="kk-KZ"/>
          <w14:textFill>
            <w14:solidFill>
              <w14:schemeClr w14:val="tx1"/>
            </w14:solidFill>
          </w14:textFill>
        </w:rPr>
        <w:t>онда</w:t>
      </w: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 олардың кәсіби құзыреттілігі артады, </w:t>
      </w:r>
      <w:r>
        <w:rPr>
          <w:rFonts w:ascii="Times New Roman" w:hAnsi="Times New Roman" w:cs="Times New Roman" w:eastAsiaTheme="majorEastAsia"/>
          <w:b/>
          <w:bCs/>
          <w:color w:val="000000" w:themeColor="text1"/>
          <w:sz w:val="28"/>
          <w:szCs w:val="28"/>
          <w:lang w:val="kk-KZ"/>
          <w14:textFill>
            <w14:solidFill>
              <w14:schemeClr w14:val="tx1"/>
            </w14:solidFill>
          </w14:textFill>
        </w:rPr>
        <w:t xml:space="preserve">өйткені </w:t>
      </w:r>
      <w:r>
        <w:rPr>
          <w:rFonts w:ascii="Times New Roman" w:hAnsi="Times New Roman" w:cs="Times New Roman" w:eastAsiaTheme="majorEastAsia"/>
          <w:bCs/>
          <w:color w:val="000000" w:themeColor="text1"/>
          <w:sz w:val="28"/>
          <w:szCs w:val="28"/>
          <w:lang w:val="kk-KZ"/>
          <w14:textFill>
            <w14:solidFill>
              <w14:schemeClr w14:val="tx1"/>
            </w14:solidFill>
          </w14:textFill>
        </w:rPr>
        <w:t>мұндай формат пәндік білімді меңгеру мен педагогикалық тәжірибені кіріктіріп, білім алушыны оқу процесінің пассивті қатысушысынан белсенді педагогикалық субъект деңгейіне көтереді.</w:t>
      </w:r>
    </w:p>
    <w:p w14:paraId="1ABBE489">
      <w:pPr>
        <w:tabs>
          <w:tab w:val="left" w:pos="1227"/>
        </w:tabs>
        <w:spacing w:after="0" w:line="240" w:lineRule="auto"/>
        <w:ind w:firstLine="709"/>
        <w:jc w:val="both"/>
        <w:rPr>
          <w:rFonts w:ascii="Times New Roman" w:hAnsi="Times New Roman" w:cs="Times New Roman" w:eastAsiaTheme="majorEastAsia"/>
          <w:b/>
          <w:bCs/>
          <w:color w:val="000000" w:themeColor="text1"/>
          <w:sz w:val="28"/>
          <w:szCs w:val="28"/>
          <w:lang w:val="kk-KZ"/>
          <w14:textFill>
            <w14:solidFill>
              <w14:schemeClr w14:val="tx1"/>
            </w14:solidFill>
          </w14:textFill>
        </w:rPr>
      </w:pPr>
      <w:r>
        <w:rPr>
          <w:rFonts w:ascii="Times New Roman" w:hAnsi="Times New Roman" w:cs="Times New Roman" w:eastAsiaTheme="majorEastAsia"/>
          <w:b/>
          <w:bCs/>
          <w:color w:val="000000" w:themeColor="text1"/>
          <w:sz w:val="28"/>
          <w:szCs w:val="28"/>
          <w:lang w:val="kk-KZ"/>
          <w14:textFill>
            <w14:solidFill>
              <w14:schemeClr w14:val="tx1"/>
            </w14:solidFill>
          </w14:textFill>
        </w:rPr>
        <w:t>Зерттеудің міндеттері:</w:t>
      </w:r>
    </w:p>
    <w:p w14:paraId="703DE085">
      <w:pPr>
        <w:pStyle w:val="4"/>
        <w:numPr>
          <w:ilvl w:val="0"/>
          <w:numId w:val="2"/>
        </w:numPr>
        <w:tabs>
          <w:tab w:val="left" w:pos="567"/>
          <w:tab w:val="left" w:pos="993"/>
        </w:tabs>
        <w:spacing w:after="0" w:line="240" w:lineRule="auto"/>
        <w:ind w:left="0"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Психологиялық-педагогикалық және әдістемелік әдебиеттерді талдау негізінде болашақ информатика мұғалімдерін даярлауда геймификация элементтерін қолданудың теориялық негіздерін анықтау;</w:t>
      </w:r>
    </w:p>
    <w:p w14:paraId="19FA9826">
      <w:pPr>
        <w:pStyle w:val="4"/>
        <w:numPr>
          <w:ilvl w:val="0"/>
          <w:numId w:val="2"/>
        </w:numPr>
        <w:tabs>
          <w:tab w:val="left" w:pos="567"/>
          <w:tab w:val="left" w:pos="993"/>
        </w:tabs>
        <w:spacing w:after="0" w:line="240" w:lineRule="auto"/>
        <w:ind w:left="0"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Болашақ информатика мұғалімдерін даярлау процесінде геймификация элементтерін қолданудың әдістемелік ерекшеліктерін, принциптері мен педагогикалық шарттарын негіздеу;</w:t>
      </w:r>
    </w:p>
    <w:p w14:paraId="29273ECA">
      <w:pPr>
        <w:pStyle w:val="4"/>
        <w:numPr>
          <w:ilvl w:val="0"/>
          <w:numId w:val="2"/>
        </w:numPr>
        <w:tabs>
          <w:tab w:val="left" w:pos="567"/>
          <w:tab w:val="left" w:pos="993"/>
        </w:tabs>
        <w:spacing w:after="0" w:line="240" w:lineRule="auto"/>
        <w:ind w:left="0"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Болашақ информатика мұғалімдерін оқытуда геймификация элементтерін қолданудың моделін және </w:t>
      </w:r>
      <w:r>
        <w:rPr>
          <w:rFonts w:ascii="Times New Roman" w:hAnsi="Times New Roman" w:cs="Times New Roman" w:eastAsiaTheme="majorEastAsia"/>
          <w:color w:val="000000" w:themeColor="text1"/>
          <w:sz w:val="28"/>
          <w:szCs w:val="28"/>
          <w:lang w:val="kk-KZ"/>
          <w14:textFill>
            <w14:solidFill>
              <w14:schemeClr w14:val="tx1"/>
            </w14:solidFill>
          </w14:textFill>
        </w:rPr>
        <w:t xml:space="preserve">кәсіби құзыреттілікті қалыптастыруға бағытталған әдістемені </w:t>
      </w:r>
      <w:r>
        <w:rPr>
          <w:rFonts w:ascii="Times New Roman" w:hAnsi="Times New Roman" w:cs="Times New Roman" w:eastAsiaTheme="majorEastAsia"/>
          <w:bCs/>
          <w:color w:val="000000" w:themeColor="text1"/>
          <w:sz w:val="28"/>
          <w:szCs w:val="28"/>
          <w:lang w:val="kk-KZ"/>
          <w14:textFill>
            <w14:solidFill>
              <w14:schemeClr w14:val="tx1"/>
            </w14:solidFill>
          </w14:textFill>
        </w:rPr>
        <w:t>әзірлеу;</w:t>
      </w:r>
    </w:p>
    <w:p w14:paraId="4AF44D21">
      <w:pPr>
        <w:pStyle w:val="4"/>
        <w:numPr>
          <w:ilvl w:val="0"/>
          <w:numId w:val="2"/>
        </w:numPr>
        <w:tabs>
          <w:tab w:val="left" w:pos="567"/>
          <w:tab w:val="left" w:pos="993"/>
        </w:tabs>
        <w:spacing w:after="0" w:line="240" w:lineRule="auto"/>
        <w:ind w:left="0"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Әзірленген әдістеменің тиімділігін тәжірибелік-эксперименттік жұмыс барысында тексеру, алынған нәтижелерді талдау және бағалау.</w:t>
      </w:r>
    </w:p>
    <w:p w14:paraId="2BC75F04">
      <w:pPr>
        <w:tabs>
          <w:tab w:val="left" w:pos="142"/>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Зерттеудің мақсаты мен міндеттеріне сəйкес келесі </w:t>
      </w:r>
      <w:r>
        <w:rPr>
          <w:rFonts w:ascii="Times New Roman" w:hAnsi="Times New Roman" w:cs="Times New Roman" w:eastAsiaTheme="majorEastAsia"/>
          <w:b/>
          <w:bCs/>
          <w:color w:val="000000" w:themeColor="text1"/>
          <w:sz w:val="28"/>
          <w:szCs w:val="28"/>
          <w:lang w:val="kk-KZ"/>
          <w14:textFill>
            <w14:solidFill>
              <w14:schemeClr w14:val="tx1"/>
            </w14:solidFill>
          </w14:textFill>
        </w:rPr>
        <w:t>зерттеу әдістері</w:t>
      </w: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 пайдаланылды:  </w:t>
      </w:r>
    </w:p>
    <w:p w14:paraId="20BD3AA9">
      <w:pPr>
        <w:numPr>
          <w:ilvl w:val="0"/>
          <w:numId w:val="2"/>
        </w:numPr>
        <w:tabs>
          <w:tab w:val="left" w:pos="567"/>
          <w:tab w:val="left" w:pos="993"/>
        </w:tabs>
        <w:spacing w:after="0" w:line="240" w:lineRule="auto"/>
        <w:ind w:left="0"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i/>
          <w:color w:val="000000" w:themeColor="text1"/>
          <w:sz w:val="28"/>
          <w:szCs w:val="28"/>
          <w:lang w:val="kk-KZ"/>
          <w14:textFill>
            <w14:solidFill>
              <w14:schemeClr w14:val="tx1"/>
            </w14:solidFill>
          </w14:textFill>
        </w:rPr>
        <w:t>теориялық зерттеу əдістері</w:t>
      </w:r>
      <w:r>
        <w:rPr>
          <w:rFonts w:ascii="Times New Roman" w:hAnsi="Times New Roman" w:cs="Times New Roman" w:eastAsiaTheme="majorEastAsia"/>
          <w:b/>
          <w:bCs/>
          <w:i/>
          <w:color w:val="000000" w:themeColor="text1"/>
          <w:sz w:val="28"/>
          <w:szCs w:val="28"/>
          <w:lang w:val="kk-KZ"/>
          <w14:textFill>
            <w14:solidFill>
              <w14:schemeClr w14:val="tx1"/>
            </w14:solidFill>
          </w14:textFill>
        </w:rPr>
        <w:t>:</w:t>
      </w: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 педагогикалық, психологиялық, әдістемелік және ғылыми-техникалық әдебиеттерді жүйелі шолу, талдау, жинақтау, қорыту, нормативтік құжаттарды зерделеу, геймификация элементтерін жіктеу, модельдеу;</w:t>
      </w:r>
    </w:p>
    <w:p w14:paraId="6EE9C089">
      <w:pPr>
        <w:numPr>
          <w:ilvl w:val="0"/>
          <w:numId w:val="2"/>
        </w:numPr>
        <w:tabs>
          <w:tab w:val="left" w:pos="567"/>
          <w:tab w:val="left" w:pos="993"/>
        </w:tabs>
        <w:spacing w:after="0" w:line="240" w:lineRule="auto"/>
        <w:ind w:left="0"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i/>
          <w:color w:val="000000" w:themeColor="text1"/>
          <w:sz w:val="28"/>
          <w:szCs w:val="28"/>
          <w:lang w:val="kk-KZ"/>
          <w14:textFill>
            <w14:solidFill>
              <w14:schemeClr w14:val="tx1"/>
            </w14:solidFill>
          </w14:textFill>
        </w:rPr>
        <w:t>əлеуметтік зерттеу əдістері:</w:t>
      </w: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 оқытушылармен және болашақ информатика мұғалімдерімен жүргізілген сауалнама, тестілеу, әріптестік бағалау;</w:t>
      </w:r>
    </w:p>
    <w:p w14:paraId="4428F7DD">
      <w:pPr>
        <w:numPr>
          <w:ilvl w:val="0"/>
          <w:numId w:val="2"/>
        </w:numPr>
        <w:tabs>
          <w:tab w:val="left" w:pos="567"/>
          <w:tab w:val="left" w:pos="993"/>
        </w:tabs>
        <w:spacing w:after="0" w:line="240" w:lineRule="auto"/>
        <w:ind w:left="0"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i/>
          <w:color w:val="000000" w:themeColor="text1"/>
          <w:sz w:val="28"/>
          <w:szCs w:val="28"/>
          <w:lang w:val="kk-KZ"/>
          <w14:textFill>
            <w14:solidFill>
              <w14:schemeClr w14:val="tx1"/>
            </w14:solidFill>
          </w14:textFill>
        </w:rPr>
        <w:t>эмпирикалық зерттеу əдістері:</w:t>
      </w: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 педагогикалық эксперимент арқылы ғылыми болжамды тексеру, статистикалық əдістермен деректерді жинау, өңдеу жəне талдау.</w:t>
      </w:r>
    </w:p>
    <w:p w14:paraId="4248B36E">
      <w:pPr>
        <w:tabs>
          <w:tab w:val="left" w:pos="56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
          <w:bCs/>
          <w:i/>
          <w:color w:val="000000" w:themeColor="text1"/>
          <w:sz w:val="28"/>
          <w:szCs w:val="28"/>
          <w:lang w:val="kk-KZ"/>
          <w14:textFill>
            <w14:solidFill>
              <w14:schemeClr w14:val="tx1"/>
            </w14:solidFill>
          </w14:textFill>
        </w:rPr>
        <w:t>Зерттеудің теориялық-əдіснамалық негіздері:</w:t>
      </w: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 Зерттеудің психологиялық-педагогикалық негіздерін А.Н.Леонтьевтің іс-әрекет теориясы, Л.С.Выготскийдің жақын даму аймағы тұжырымдамасы, П.Я.Гальперин мен Н.Ф.Талызинаның ақыл-ой әрекеттерін кезеңдеп қалыптастыру теориясы, Э.Деси мен Р.Райанның өзін-өзі айқындау теориясы, М.Чиксентмихайидың ағын күйі тұжырымдамасы, А.Бандураның өзіндік тиімділік теориясы, В.Врумның күту теориясы, Б.Блумның таксономиясы және Дж.Свеллердің когнитивтік жүктеме теориясы құрайды.</w:t>
      </w:r>
    </w:p>
    <w:p w14:paraId="3B2D12D5">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Геймификация теориясының негіздері С.Детердинг, Д.Диксон, Р.Халед, </w:t>
      </w:r>
      <w:r>
        <w:rPr>
          <w:rFonts w:ascii="Times New Roman" w:hAnsi="Times New Roman" w:cs="Times New Roman" w:eastAsiaTheme="majorEastAsia"/>
          <w:bCs/>
          <w:color w:val="000000" w:themeColor="text1"/>
          <w:sz w:val="28"/>
          <w:szCs w:val="28"/>
          <w:lang w:val="kk-KZ"/>
          <w14:textFill>
            <w14:solidFill>
              <w14:schemeClr w14:val="tx1"/>
            </w14:solidFill>
          </w14:textFill>
        </w:rPr>
        <w:br w:type="textWrapping"/>
      </w: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Л.Нэкли, К.Капп, К.Вербах, Д.Хантер, Ю.-К.Чоу, Ю.Хамари, Й.Койвисто, </w:t>
      </w:r>
      <w:r>
        <w:rPr>
          <w:rFonts w:ascii="Times New Roman" w:hAnsi="Times New Roman" w:cs="Times New Roman" w:eastAsiaTheme="majorEastAsia"/>
          <w:bCs/>
          <w:color w:val="000000" w:themeColor="text1"/>
          <w:sz w:val="28"/>
          <w:szCs w:val="28"/>
          <w:lang w:val="kk-KZ"/>
          <w14:textFill>
            <w14:solidFill>
              <w14:schemeClr w14:val="tx1"/>
            </w14:solidFill>
          </w14:textFill>
        </w:rPr>
        <w:br w:type="textWrapping"/>
      </w:r>
      <w:r>
        <w:rPr>
          <w:rFonts w:ascii="Times New Roman" w:hAnsi="Times New Roman" w:cs="Times New Roman" w:eastAsiaTheme="majorEastAsia"/>
          <w:bCs/>
          <w:color w:val="000000" w:themeColor="text1"/>
          <w:sz w:val="28"/>
          <w:szCs w:val="28"/>
          <w:lang w:val="kk-KZ"/>
          <w14:textFill>
            <w14:solidFill>
              <w14:schemeClr w14:val="tx1"/>
            </w14:solidFill>
          </w14:textFill>
        </w:rPr>
        <w:t>Х.Сарса, Г.Зихерман, Дж.Макгонигал және басқа да зерттеушілердің еңбектеріне сүйенеді. Бұл еңбектерде геймификация ойын дизайн элементтерін ойыннан тыс ортада қолдану, білім алушылардың мотивациясын арттыру, белсенділігін күшейту және оқу процесін нәтижелі ұйымдастыру құралы ретінде қарастырылады.</w:t>
      </w:r>
    </w:p>
    <w:p w14:paraId="6713292B">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Болашақ информатика мұғалімдерін даярлауда технологияны педагогикалық мақсатта қолданудың теориялық тірегі ретінде Л.Шульманның педагогикалық мазмұндық білім тұжырымдамасы, П.Мишра мен М.Кёлердің TPACK моделі, сондай-ақ Дж.Тондёр, П.Эртмер, А.Оттенбрейт-Лефтвич, Дж.Воогт, П.Фиссер, Дж.Винг, Ш.Гровер, К.Бреннан, М.Резник және М.Гуздиалдың цифрлық педагогика, есептік ойлау және технологияны білім беру процесіне кіріктіру жөніндегі зерттеулері алынды.</w:t>
      </w:r>
    </w:p>
    <w:p w14:paraId="6BB6CA0C">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Жоғары педагогикалық білім беруді ақпараттандыру мен цифрландырудың тұжырымдамалық негіздері И.В.Роберт, Е.Ы.Бидайбеков, В.В.Гриншкун, </w:t>
      </w:r>
      <w:r>
        <w:rPr>
          <w:rFonts w:ascii="Times New Roman" w:hAnsi="Times New Roman" w:cs="Times New Roman" w:eastAsiaTheme="majorEastAsia"/>
          <w:bCs/>
          <w:color w:val="000000" w:themeColor="text1"/>
          <w:sz w:val="28"/>
          <w:szCs w:val="28"/>
          <w:lang w:val="kk-KZ"/>
          <w14:textFill>
            <w14:solidFill>
              <w14:schemeClr w14:val="tx1"/>
            </w14:solidFill>
          </w14:textFill>
        </w:rPr>
        <w:br w:type="textWrapping"/>
      </w: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Г.К.Нургалиева еңбектеріне сүйенеді. Қазақстан жағдайында болашақ информатика мұғалімдерін кәсіби даярлау, информатиканы оқыту әдістемесі, цифрлық білім беру ортасын қалыптастыру және педагогтердің цифрлық құзыреттілігін дамыту мәселелері Р.Кадирбаева, А.И.Тажигулова, Ш.Т.Шекербекова,  Ж.Нұрбекова, Н.Оспанова, К.Беркімбаев, Г.Абильдинова, </w:t>
      </w:r>
      <w:r>
        <w:rPr>
          <w:rFonts w:ascii="Times New Roman" w:hAnsi="Times New Roman" w:cs="Times New Roman" w:eastAsiaTheme="majorEastAsia"/>
          <w:bCs/>
          <w:color w:val="000000" w:themeColor="text1"/>
          <w:sz w:val="28"/>
          <w:szCs w:val="28"/>
          <w:lang w:val="kk-KZ"/>
          <w14:textFill>
            <w14:solidFill>
              <w14:schemeClr w14:val="tx1"/>
            </w14:solidFill>
          </w14:textFill>
        </w:rPr>
        <w:br w:type="textWrapping"/>
      </w:r>
      <w:r>
        <w:rPr>
          <w:rFonts w:ascii="Times New Roman" w:hAnsi="Times New Roman" w:cs="Times New Roman" w:eastAsiaTheme="majorEastAsia"/>
          <w:bCs/>
          <w:color w:val="000000" w:themeColor="text1"/>
          <w:sz w:val="28"/>
          <w:szCs w:val="28"/>
          <w:lang w:val="kk-KZ"/>
          <w14:textFill>
            <w14:solidFill>
              <w14:schemeClr w14:val="tx1"/>
            </w14:solidFill>
          </w14:textFill>
        </w:rPr>
        <w:t>А.Давлетова және басқа да отандық ғалымдардың еңбектерінде қарастырылған.</w:t>
      </w:r>
    </w:p>
    <w:p w14:paraId="4E9CE7C7">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
          <w:bCs/>
          <w:i/>
          <w:color w:val="000000" w:themeColor="text1"/>
          <w:sz w:val="28"/>
          <w:szCs w:val="28"/>
          <w:lang w:val="kk-KZ"/>
          <w14:textFill>
            <w14:solidFill>
              <w14:schemeClr w14:val="tx1"/>
            </w14:solidFill>
          </w14:textFill>
        </w:rPr>
        <w:t>Зерттеу көздері:</w:t>
      </w:r>
      <w:r>
        <w:rPr>
          <w:rFonts w:ascii="Times New Roman" w:hAnsi="Times New Roman" w:cs="Times New Roman"/>
          <w:color w:val="000000" w:themeColor="text1"/>
          <w:sz w:val="28"/>
          <w:szCs w:val="28"/>
          <w:lang w:val="kk-KZ"/>
          <w14:textFill>
            <w14:solidFill>
              <w14:schemeClr w14:val="tx1"/>
            </w14:solidFill>
          </w14:textFill>
        </w:rPr>
        <w:t xml:space="preserve"> </w:t>
      </w:r>
      <w:r>
        <w:rPr>
          <w:rFonts w:ascii="Times New Roman" w:hAnsi="Times New Roman" w:cs="Times New Roman" w:eastAsiaTheme="majorEastAsia"/>
          <w:bCs/>
          <w:color w:val="000000" w:themeColor="text1"/>
          <w:sz w:val="28"/>
          <w:szCs w:val="28"/>
          <w:lang w:val="kk-KZ"/>
          <w14:textFill>
            <w14:solidFill>
              <w14:schemeClr w14:val="tx1"/>
            </w14:solidFill>
          </w14:textFill>
        </w:rPr>
        <w:t>Зерттеудің нормативтік-құқықтық және дереккөздік негіздерін Қазақстан Республикасының «Білім туралы» Заңы, Қазақстан Республикасының «Педагог мәртебесі туралы» Заңы, Қазақстан Республикасында жоғары білімді және ғылымды дамытудың 2023–2029 жылдарға арналған тұжырымдамасы, Қазақстан Республикасында мектепке дейінгі, орта, техникалық және кәсіптік білім беруді дамытудың 2023–2029 жылдарға арналған тұжырымдамасы, Жоғары және жоғары оқу орнынан кейінгі білім берудің мемлекеттік жалпыға міндетті стандарты, Қазақстан Республикасында жасанды интеллектіні дамытудың 2024–2029 жылдарға арналған тұжырымдамасы, Қазақстан Республикасы Президентінің Қазақстан халқына Жолдаулары, сондай-ақ цифрлық технологиялар, білім беру және геймификация мәселелеріне арналған философиялық, психологиялық, педагогикалық ғылыми еңбектер, оқу-әдістемелік әдебиеттер, силлабустар, анықтамалықтар мен сөздіктер және автордың жеке зерттеушілік тәжірибесі құрайды.</w:t>
      </w:r>
    </w:p>
    <w:p w14:paraId="0A7865C8">
      <w:pPr>
        <w:tabs>
          <w:tab w:val="left" w:pos="709"/>
        </w:tabs>
        <w:spacing w:after="0" w:line="240" w:lineRule="auto"/>
        <w:ind w:firstLine="709"/>
        <w:jc w:val="both"/>
        <w:rPr>
          <w:rFonts w:ascii="Times New Roman" w:hAnsi="Times New Roman" w:cs="Times New Roman" w:eastAsiaTheme="majorEastAsia"/>
          <w:b/>
          <w:bCs/>
          <w:color w:val="000000" w:themeColor="text1"/>
          <w:sz w:val="28"/>
          <w:szCs w:val="28"/>
          <w:lang w:val="kk-KZ"/>
          <w14:textFill>
            <w14:solidFill>
              <w14:schemeClr w14:val="tx1"/>
            </w14:solidFill>
          </w14:textFill>
        </w:rPr>
      </w:pPr>
      <w:r>
        <w:rPr>
          <w:rFonts w:ascii="Times New Roman" w:hAnsi="Times New Roman" w:cs="Times New Roman" w:eastAsiaTheme="majorEastAsia"/>
          <w:b/>
          <w:bCs/>
          <w:color w:val="000000" w:themeColor="text1"/>
          <w:sz w:val="28"/>
          <w:szCs w:val="28"/>
          <w:lang w:val="kk-KZ"/>
          <w14:textFill>
            <w14:solidFill>
              <w14:schemeClr w14:val="tx1"/>
            </w14:solidFill>
          </w14:textFill>
        </w:rPr>
        <w:t>Зерттеудің ғылыми жаңалығы:</w:t>
      </w:r>
    </w:p>
    <w:p w14:paraId="175E62E0">
      <w:pPr>
        <w:pStyle w:val="4"/>
        <w:numPr>
          <w:ilvl w:val="0"/>
          <w:numId w:val="2"/>
        </w:numPr>
        <w:tabs>
          <w:tab w:val="left" w:pos="567"/>
        </w:tabs>
        <w:spacing w:after="0" w:line="240" w:lineRule="auto"/>
        <w:ind w:left="0"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Психологиялық-педагогикалық және әдістемелік әдебиеттерді талдау негізінде болашақ информатика мұғалімдерін даярлауда геймификация элементтерін қолданудың теориялық негіздері анықталды;</w:t>
      </w:r>
    </w:p>
    <w:p w14:paraId="1CBCCB42">
      <w:pPr>
        <w:pStyle w:val="4"/>
        <w:numPr>
          <w:ilvl w:val="0"/>
          <w:numId w:val="2"/>
        </w:numPr>
        <w:tabs>
          <w:tab w:val="left" w:pos="567"/>
        </w:tabs>
        <w:spacing w:after="0" w:line="240" w:lineRule="auto"/>
        <w:ind w:left="0"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Болашақ информатика мұғалімдерін даярлау процесінде геймификация элементтерін қолданудың әдістемелік ерекшеліктері, принциптері мен педагогикалық шарттары негізделді;</w:t>
      </w:r>
    </w:p>
    <w:p w14:paraId="1A985D29">
      <w:pPr>
        <w:pStyle w:val="4"/>
        <w:numPr>
          <w:ilvl w:val="0"/>
          <w:numId w:val="2"/>
        </w:numPr>
        <w:tabs>
          <w:tab w:val="left" w:pos="567"/>
        </w:tabs>
        <w:spacing w:after="0" w:line="240" w:lineRule="auto"/>
        <w:ind w:left="0"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Болашақ информатика мұғалімдерін оқытуда геймификация элементтерін қолданудың моделі әзірленді;</w:t>
      </w:r>
    </w:p>
    <w:p w14:paraId="30B5E004">
      <w:pPr>
        <w:pStyle w:val="4"/>
        <w:numPr>
          <w:ilvl w:val="0"/>
          <w:numId w:val="2"/>
        </w:numPr>
        <w:tabs>
          <w:tab w:val="left" w:pos="567"/>
        </w:tabs>
        <w:spacing w:after="0" w:line="240" w:lineRule="auto"/>
        <w:ind w:left="0"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«Қос рөлдік практика» форматына негізделген кәсіби құзыреттілікті қалыптастыруға бағытталған геймификация элементтерін қолдану әдістемесі әзірленді және оның тиімділігі педагогикалық эксперимент арқылы тексерілді.</w:t>
      </w:r>
    </w:p>
    <w:p w14:paraId="38D24BCB">
      <w:pPr>
        <w:tabs>
          <w:tab w:val="left" w:pos="1227"/>
        </w:tabs>
        <w:spacing w:after="0" w:line="240" w:lineRule="auto"/>
        <w:ind w:firstLine="709"/>
        <w:jc w:val="both"/>
        <w:rPr>
          <w:rFonts w:ascii="Times New Roman" w:hAnsi="Times New Roman" w:cs="Times New Roman" w:eastAsiaTheme="majorEastAsia"/>
          <w:b/>
          <w:bCs/>
          <w:color w:val="000000" w:themeColor="text1"/>
          <w:sz w:val="28"/>
          <w:szCs w:val="28"/>
          <w:lang w:val="kk-KZ"/>
          <w14:textFill>
            <w14:solidFill>
              <w14:schemeClr w14:val="tx1"/>
            </w14:solidFill>
          </w14:textFill>
        </w:rPr>
      </w:pPr>
      <w:r>
        <w:rPr>
          <w:rFonts w:ascii="Times New Roman" w:hAnsi="Times New Roman" w:cs="Times New Roman" w:eastAsiaTheme="majorEastAsia"/>
          <w:b/>
          <w:bCs/>
          <w:color w:val="000000" w:themeColor="text1"/>
          <w:sz w:val="28"/>
          <w:szCs w:val="28"/>
          <w:lang w:val="kk-KZ"/>
          <w14:textFill>
            <w14:solidFill>
              <w14:schemeClr w14:val="tx1"/>
            </w14:solidFill>
          </w14:textFill>
        </w:rPr>
        <w:t xml:space="preserve">Зерттеудің теориялық маңыздылығы: </w:t>
      </w:r>
      <w:r>
        <w:rPr>
          <w:rFonts w:ascii="Times New Roman" w:hAnsi="Times New Roman" w:cs="Times New Roman" w:eastAsiaTheme="majorEastAsia"/>
          <w:bCs/>
          <w:color w:val="000000" w:themeColor="text1"/>
          <w:sz w:val="28"/>
          <w:szCs w:val="28"/>
          <w:lang w:val="kk-KZ"/>
          <w14:textFill>
            <w14:solidFill>
              <w14:schemeClr w14:val="tx1"/>
            </w14:solidFill>
          </w14:textFill>
        </w:rPr>
        <w:t>геймификация элементтерінің жоғары педагогикалық білім беру жүйесіндегі дидактикалық потенциалы туралы ғылыми түсінік кеңейтіліп, геймификация ұғымына берілген тұжырым; геймификация элементтерін болашақ информатика мұғалімдерін кәсіби даярлау контексінде қолданудың ғылыми-әдістемелік негізі; «қос рөлдік практика» форматына сүйенген геймификацияланған оқытудың әдістемесі.</w:t>
      </w:r>
    </w:p>
    <w:p w14:paraId="7C72033A">
      <w:pPr>
        <w:tabs>
          <w:tab w:val="left" w:pos="1227"/>
        </w:tabs>
        <w:spacing w:after="0" w:line="240" w:lineRule="auto"/>
        <w:ind w:firstLine="709"/>
        <w:jc w:val="both"/>
        <w:rPr>
          <w:rFonts w:ascii="Times New Roman" w:hAnsi="Times New Roman" w:cs="Times New Roman" w:eastAsiaTheme="majorEastAsia"/>
          <w:b/>
          <w:bCs/>
          <w:color w:val="000000" w:themeColor="text1"/>
          <w:sz w:val="28"/>
          <w:szCs w:val="28"/>
          <w:lang w:val="kk-KZ"/>
          <w14:textFill>
            <w14:solidFill>
              <w14:schemeClr w14:val="tx1"/>
            </w14:solidFill>
          </w14:textFill>
        </w:rPr>
      </w:pPr>
      <w:r>
        <w:rPr>
          <w:rFonts w:ascii="Times New Roman" w:hAnsi="Times New Roman" w:cs="Times New Roman" w:eastAsiaTheme="majorEastAsia"/>
          <w:b/>
          <w:bCs/>
          <w:color w:val="000000" w:themeColor="text1"/>
          <w:sz w:val="28"/>
          <w:szCs w:val="28"/>
          <w:lang w:val="kk-KZ"/>
          <w14:textFill>
            <w14:solidFill>
              <w14:schemeClr w14:val="tx1"/>
            </w14:solidFill>
          </w14:textFill>
        </w:rPr>
        <w:t xml:space="preserve">Зерттеудің практикалық маңыздылығы: </w:t>
      </w:r>
      <w:r>
        <w:rPr>
          <w:rFonts w:ascii="Times New Roman" w:hAnsi="Times New Roman" w:cs="Times New Roman" w:eastAsiaTheme="majorEastAsia"/>
          <w:bCs/>
          <w:color w:val="000000" w:themeColor="text1"/>
          <w:sz w:val="28"/>
          <w:szCs w:val="28"/>
          <w:lang w:val="kk-KZ"/>
          <w14:textFill>
            <w14:solidFill>
              <w14:schemeClr w14:val="tx1"/>
            </w14:solidFill>
          </w14:textFill>
        </w:rPr>
        <w:t>болашақ информатика мұғалімдерін оқытуда геймификация элементтерін қолданудың моделі оқытушыларға әдістемелік көмек бола алады. «Бағдарламалауға кіріспе» пәнінің геймификация элементтері интеграцияланған ОБӨЖ тапсырмалары бар силлабусы Информатика білім беру бағдарламасының оқу процесіне енгізілді. Blockland.kz авторлық платформасын бағдарламалау курстарын оқытуда қолдануға болатындығында. «Информатика» білім беру бағдарламасына (2026 жыл) «Blockly ортасында программалау негіздері» элективті курсы қосылғандығында.</w:t>
      </w:r>
    </w:p>
    <w:p w14:paraId="404AACD9">
      <w:pPr>
        <w:tabs>
          <w:tab w:val="left" w:pos="1227"/>
        </w:tabs>
        <w:spacing w:after="0" w:line="240" w:lineRule="auto"/>
        <w:ind w:firstLine="709"/>
        <w:jc w:val="both"/>
        <w:rPr>
          <w:rFonts w:ascii="Times New Roman" w:hAnsi="Times New Roman" w:cs="Times New Roman" w:eastAsiaTheme="majorEastAsia"/>
          <w:b/>
          <w:bCs/>
          <w:color w:val="000000" w:themeColor="text1"/>
          <w:sz w:val="28"/>
          <w:szCs w:val="28"/>
          <w:lang w:val="kk-KZ"/>
          <w14:textFill>
            <w14:solidFill>
              <w14:schemeClr w14:val="tx1"/>
            </w14:solidFill>
          </w14:textFill>
        </w:rPr>
      </w:pPr>
      <w:r>
        <w:rPr>
          <w:rFonts w:ascii="Times New Roman" w:hAnsi="Times New Roman" w:cs="Times New Roman" w:eastAsiaTheme="majorEastAsia"/>
          <w:b/>
          <w:bCs/>
          <w:color w:val="000000" w:themeColor="text1"/>
          <w:sz w:val="28"/>
          <w:szCs w:val="28"/>
          <w:lang w:val="kk-KZ"/>
          <w14:textFill>
            <w14:solidFill>
              <w14:schemeClr w14:val="tx1"/>
            </w14:solidFill>
          </w14:textFill>
        </w:rPr>
        <w:t xml:space="preserve">Зерттеу нәтижелерінің дәлелдігі мен негізділігі: </w:t>
      </w:r>
      <w:r>
        <w:rPr>
          <w:rFonts w:ascii="Times New Roman" w:hAnsi="Times New Roman" w:cs="Times New Roman" w:eastAsiaTheme="majorEastAsia"/>
          <w:bCs/>
          <w:color w:val="000000" w:themeColor="text1"/>
          <w:sz w:val="28"/>
          <w:szCs w:val="28"/>
          <w:lang w:val="kk-KZ"/>
          <w14:textFill>
            <w14:solidFill>
              <w14:schemeClr w14:val="tx1"/>
            </w14:solidFill>
          </w14:textFill>
        </w:rPr>
        <w:t>ғылыми және оқу-әдістемелік әдебиеттерді талдау; теориялық және эксперименттік әдістерді қолдану; алынған нәтижелерді статистикалық тұрғыдан өңдеу арқылы қамтамасыз етіледі.</w:t>
      </w:r>
    </w:p>
    <w:p w14:paraId="033E3F9B">
      <w:pPr>
        <w:tabs>
          <w:tab w:val="left" w:pos="1227"/>
        </w:tabs>
        <w:spacing w:after="0" w:line="240" w:lineRule="auto"/>
        <w:ind w:firstLine="709"/>
        <w:jc w:val="both"/>
        <w:rPr>
          <w:rFonts w:ascii="Times New Roman" w:hAnsi="Times New Roman" w:cs="Times New Roman" w:eastAsiaTheme="majorEastAsia"/>
          <w:b/>
          <w:bCs/>
          <w:color w:val="000000" w:themeColor="text1"/>
          <w:sz w:val="28"/>
          <w:szCs w:val="28"/>
          <w:lang w:val="kk-KZ"/>
          <w14:textFill>
            <w14:solidFill>
              <w14:schemeClr w14:val="tx1"/>
            </w14:solidFill>
          </w14:textFill>
        </w:rPr>
      </w:pPr>
      <w:r>
        <w:rPr>
          <w:rFonts w:ascii="Times New Roman" w:hAnsi="Times New Roman" w:cs="Times New Roman" w:eastAsiaTheme="majorEastAsia"/>
          <w:b/>
          <w:bCs/>
          <w:color w:val="000000" w:themeColor="text1"/>
          <w:sz w:val="28"/>
          <w:szCs w:val="28"/>
          <w:lang w:val="kk-KZ"/>
          <w14:textFill>
            <w14:solidFill>
              <w14:schemeClr w14:val="tx1"/>
            </w14:solidFill>
          </w14:textFill>
        </w:rPr>
        <w:t>Қорғауға ұсынылатын негізгі қағидалар:</w:t>
      </w:r>
    </w:p>
    <w:p w14:paraId="797E9E36">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1. Болашақ информатика мұғалімдерін даярлауда геймификация элементтерін қолдану білім алушылардың оқу мотивациясын арттыруға, танымдық белсенділігін күшейтуге және кәсіби құзыреттіліктерін қалыптастыруға бағытталған психологиялық-педагогикалық және әдістемелік негіздердің бірлігіне сүйенуі тиіс; </w:t>
      </w:r>
    </w:p>
    <w:p w14:paraId="68E59F89">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2. Геймификация элементтерін қолданудың тиімділігі оларды болашақ информатика мұғалімдерінің кәсіби даярлығының мақсаты мен мазмұнына сәйкес әдістемелік ерекшеліктері мен принциптерін негіздеу және қажетті педагогикалық шарттарды қамтамасыз ету арқылы анықталады;</w:t>
      </w:r>
    </w:p>
    <w:p w14:paraId="35EFE45A">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3. Болашақ информатика мұғалімдерін даярлау процесінде геймификация элементтерін қолданудың тиімділігі кәсіби құзыреттілікті қалыптастыруға бағытталған құрылымдық-функционалдық модель мен оны жүзеге асыратын әдістеменің бірлігі арқылы қамтамасыз етіледі;</w:t>
      </w:r>
    </w:p>
    <w:p w14:paraId="7736AE9F">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4. «Қос рөлдік практика» форматына негізделген геймификация элементтерін қолдану әдістемесі болашақ информатика мұғалімдерінің кәсіби даярлығына оң әсерін тигізеді.</w:t>
      </w:r>
    </w:p>
    <w:p w14:paraId="0E6A31FC">
      <w:pPr>
        <w:tabs>
          <w:tab w:val="left" w:pos="1227"/>
        </w:tabs>
        <w:spacing w:after="0" w:line="240" w:lineRule="auto"/>
        <w:ind w:firstLine="709"/>
        <w:jc w:val="both"/>
        <w:rPr>
          <w:rFonts w:ascii="Times New Roman" w:hAnsi="Times New Roman" w:cs="Times New Roman" w:eastAsiaTheme="majorEastAsia"/>
          <w:b/>
          <w:bCs/>
          <w:color w:val="000000" w:themeColor="text1"/>
          <w:sz w:val="28"/>
          <w:szCs w:val="28"/>
          <w:lang w:val="kk-KZ"/>
          <w14:textFill>
            <w14:solidFill>
              <w14:schemeClr w14:val="tx1"/>
            </w14:solidFill>
          </w14:textFill>
        </w:rPr>
      </w:pPr>
      <w:r>
        <w:rPr>
          <w:rFonts w:ascii="Times New Roman" w:hAnsi="Times New Roman" w:cs="Times New Roman" w:eastAsiaTheme="majorEastAsia"/>
          <w:b/>
          <w:bCs/>
          <w:color w:val="000000" w:themeColor="text1"/>
          <w:sz w:val="28"/>
          <w:szCs w:val="28"/>
          <w:lang w:val="kk-KZ"/>
          <w14:textFill>
            <w14:solidFill>
              <w14:schemeClr w14:val="tx1"/>
            </w14:solidFill>
          </w14:textFill>
        </w:rPr>
        <w:t xml:space="preserve">Зерттеудің базасы: </w:t>
      </w: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Эксперименттік зерттеу І. Жансүгіров атындағы Жетісу университетінде, Қазақ ұлттық қыздар педагогикалық университетінде және Ш. Есенов атындағы Каспий технологиялар және инжиниринг университетінде жүргізілді. </w:t>
      </w:r>
    </w:p>
    <w:p w14:paraId="21629FC7">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
          <w:bCs/>
          <w:color w:val="000000" w:themeColor="text1"/>
          <w:sz w:val="28"/>
          <w:szCs w:val="28"/>
          <w:lang w:val="kk-KZ"/>
          <w14:textFill>
            <w14:solidFill>
              <w14:schemeClr w14:val="tx1"/>
            </w14:solidFill>
          </w14:textFill>
        </w:rPr>
        <w:t>Зерттеудің кезеңдері:</w:t>
      </w: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 Зерттеу 2023–2026 жылдар аралығында үш кезеңде жүргізілді.</w:t>
      </w:r>
    </w:p>
    <w:p w14:paraId="33C2CCA0">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Бірінші кезең (2023–2024) – теориялық-аналитикалық кезең. Бұл кезеңде ғылыми-педагогикалық, психологиялық және әдістемелік әдебиеттерге жүйелі шолу жасалды, геймификация элементтерін қолданудың қазіргі жағдайын анықтау мақсатында оқытушылар мен білім алушылар арасында сауалнама жүргізілді. Зерттеудің ғылыми аппараты айқындалып, мақсаты, міндеттері, болжамы тұжырымдалды, авторлық педагогикалық модель мен Blockland.kz платформасының теориялық-әдістемелік негіздері әзірленді.</w:t>
      </w:r>
    </w:p>
    <w:p w14:paraId="15C91186">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Екінші кезең (2024–2025) – тәжірибелік-эксперименттік кезең. Бұл кезеңде айқындаушы және іздену кезеңдерінде алынған нәтижелер негізінде геймификация элементтерін қолдануға бағытталған авторлық әдістеме оқу процесіне енгізілді. Blockland.kz платформасы апробациядан өткізіліп, болашақ информатика мұғалімдерінің пәндік-алгоритмдік, педагогикалық-жобалау және мотивациялық даярлық деңгейлерін анықтауға бағытталған эксперименттік жұмыстар жүргізілді.</w:t>
      </w:r>
    </w:p>
    <w:p w14:paraId="5E02B4EA">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Үшінші кезең (2025–2026) – қорытынды-бағалаушы кезең. Бұл кезеңде педагогикалық эксперимент нәтижелері жинақталып, алынған деректер математикалық-статистикалық әдістер арқылы өңделді және талданды. Зерттеу болжамының расталу деңгейі анықталып, диссертациялық жұмыс рәсімделді.</w:t>
      </w:r>
    </w:p>
    <w:p w14:paraId="0BBAF03A">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
          <w:bCs/>
          <w:color w:val="000000" w:themeColor="text1"/>
          <w:sz w:val="28"/>
          <w:szCs w:val="28"/>
          <w:lang w:val="kk-KZ"/>
          <w14:textFill>
            <w14:solidFill>
              <w14:schemeClr w14:val="tx1"/>
            </w14:solidFill>
          </w14:textFill>
        </w:rPr>
        <w:t>Зерттеудің мақұлдануы және тәжірибеге енгізілуі</w:t>
      </w: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 Зерттеудің қорытындылары мен нәтижелері І. Жансүгіров атындағы Жетісу университеті Физика-математика факультетінің әдістемелік семинарында баяндалып, талқыланды. «Blockly ортасында программалау негіздері» оқу құралы шығып, қолданысқа енгізілді. </w:t>
      </w:r>
    </w:p>
    <w:p w14:paraId="618725A7">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Ғылыми-зерттеу жұмысының нәтижелері І. Жансүгіров атындағы Жетісу университеті, Қазақ ұлттық қыздар педагогикалық университеті және Ш. Есенов атындағы Каспий технологиялар және инжиниринг университетінің оқу процесіне енгізілді. </w:t>
      </w:r>
    </w:p>
    <w:p w14:paraId="1D721698">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Blockland.kz платформасы негізінде болашақ информатика мұғалімдеріне арналған «Бағдарламалауға кіріспе» курсының геймификация элементтері интеграцияланған силлабусы әзірленіп, тәжірибеге енгізілді. 6В01513 - Информатика (IP) білім беру бағдарламасына (2026 жыл) «Blockly ортасында программалау негіздері» элективті курсы қосылды.</w:t>
      </w:r>
    </w:p>
    <w:p w14:paraId="24FBDA1E">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Сонымен қатар, зерттеу нəтижелері конференциялар мен семинарларда баяндама арқылы жүзеге асырылды.</w:t>
      </w:r>
    </w:p>
    <w:p w14:paraId="262DAB4F">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
          <w:bCs/>
          <w:color w:val="000000" w:themeColor="text1"/>
          <w:sz w:val="28"/>
          <w:szCs w:val="28"/>
          <w:lang w:val="kk-KZ"/>
          <w14:textFill>
            <w14:solidFill>
              <w14:schemeClr w14:val="tx1"/>
            </w14:solidFill>
          </w14:textFill>
        </w:rPr>
        <w:t>Жарияланымдар</w:t>
      </w:r>
      <w:r>
        <w:rPr>
          <w:rFonts w:ascii="Times New Roman" w:hAnsi="Times New Roman" w:cs="Times New Roman" w:eastAsiaTheme="majorEastAsia"/>
          <w:bCs/>
          <w:color w:val="000000" w:themeColor="text1"/>
          <w:sz w:val="28"/>
          <w:szCs w:val="28"/>
          <w:lang w:val="kk-KZ"/>
          <w14:textFill>
            <w14:solidFill>
              <w14:schemeClr w14:val="tx1"/>
            </w14:solidFill>
          </w14:textFill>
        </w:rPr>
        <w:t>. Диссертацияның негізгі нəтижелері отандық, шетелдік ғылыми кеңесшілермен бірге Scopus деректер қорында индекстелетін халықаралық рецензияланатын ғылыми басылымда, Қазақстан Республикасы Ғылым және жоғары білім министрлігінің Ғылым және жоғары білім саласындағы сапаны қамтамасыз ету комитеті ұсынатын ғылыми басылымдар тізбесіне енгізілген журналдарында жəне халықаралық ғылыми-практикалық конференция материалдарында жарияланды. Диссертацияның негізгі мазмұны бойынша 14 ғылыми-еңбек жарық көрді:</w:t>
      </w:r>
    </w:p>
    <w:p w14:paraId="588BF1DC">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1. Scopus базасындағы басылымдарда жарияланған ғылыми еңбектер – 1 (процентиль – 73, Quartile – Q2);</w:t>
      </w:r>
    </w:p>
    <w:p w14:paraId="282E87FD">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2. Қазақстан Республикасы Ғылым және жоғары білім министрлігінің Ғылым және жоғары білім саласындағы сапаны қамтамасыз ету комитеті ұсынатын ғылыми басылымдар тізбесіне енгізілген журналдарында жарияланған ғылыми еңбектер – 4;</w:t>
      </w:r>
    </w:p>
    <w:p w14:paraId="2C97F802">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3. Халықаралық ғылыми-практикалық конференцияларда жарияланған ғылыми еңбектер – </w:t>
      </w:r>
      <w:r>
        <w:rPr>
          <w:rFonts w:ascii="Times New Roman" w:hAnsi="Times New Roman" w:cs="Times New Roman" w:eastAsiaTheme="majorEastAsia"/>
          <w:bCs/>
          <w:color w:val="000000" w:themeColor="text1"/>
          <w:sz w:val="28"/>
          <w:szCs w:val="28"/>
          <w:lang w:val="ru-RU"/>
          <w14:textFill>
            <w14:solidFill>
              <w14:schemeClr w14:val="tx1"/>
            </w14:solidFill>
          </w14:textFill>
        </w:rPr>
        <w:t>6</w:t>
      </w: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  </w:t>
      </w:r>
    </w:p>
    <w:p w14:paraId="726097DF">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4.  Оқу құралы – 1; </w:t>
      </w:r>
    </w:p>
    <w:p w14:paraId="6DE224E0">
      <w:pPr>
        <w:tabs>
          <w:tab w:val="left" w:pos="851"/>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Cs/>
          <w:color w:val="000000" w:themeColor="text1"/>
          <w:sz w:val="28"/>
          <w:szCs w:val="28"/>
          <w:lang w:val="kk-KZ"/>
          <w14:textFill>
            <w14:solidFill>
              <w14:schemeClr w14:val="tx1"/>
            </w14:solidFill>
          </w14:textFill>
        </w:rPr>
        <w:t>5. Авторлық құқықпен қорғалатын объектілерге мемлекеттік тізілімге мәліметтер енгізу туралы куәлік – 2.</w:t>
      </w:r>
    </w:p>
    <w:p w14:paraId="468C0A36">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
          <w:bCs/>
          <w:color w:val="000000" w:themeColor="text1"/>
          <w:sz w:val="28"/>
          <w:szCs w:val="28"/>
          <w:lang w:val="kk-KZ"/>
          <w14:textFill>
            <w14:solidFill>
              <w14:schemeClr w14:val="tx1"/>
            </w14:solidFill>
          </w14:textFill>
        </w:rPr>
        <w:t xml:space="preserve">Диссертацияның құрылымы: </w:t>
      </w:r>
      <w:r>
        <w:rPr>
          <w:rFonts w:ascii="Times New Roman" w:hAnsi="Times New Roman" w:cs="Times New Roman" w:eastAsiaTheme="majorEastAsia"/>
          <w:bCs/>
          <w:color w:val="000000" w:themeColor="text1"/>
          <w:sz w:val="28"/>
          <w:szCs w:val="28"/>
          <w:lang w:val="kk-KZ"/>
          <w14:textFill>
            <w14:solidFill>
              <w14:schemeClr w14:val="tx1"/>
            </w14:solidFill>
          </w14:textFill>
        </w:rPr>
        <w:t>Диссертациялық жұмыс кіріспеден, үш бөлімнен,</w:t>
      </w:r>
      <w:r>
        <w:rPr>
          <w:rFonts w:ascii="Times New Roman" w:hAnsi="Times New Roman" w:cs="Times New Roman" w:eastAsiaTheme="majorEastAsia"/>
          <w:b/>
          <w:bCs/>
          <w:color w:val="000000" w:themeColor="text1"/>
          <w:sz w:val="28"/>
          <w:szCs w:val="28"/>
          <w:lang w:val="kk-KZ"/>
          <w14:textFill>
            <w14:solidFill>
              <w14:schemeClr w14:val="tx1"/>
            </w14:solidFill>
          </w14:textFill>
        </w:rPr>
        <w:t xml:space="preserve"> </w:t>
      </w: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қорытындыдан, пайдаланылған әдебиеттер тізімінен және қосымшалардан тұрады. </w:t>
      </w:r>
    </w:p>
    <w:p w14:paraId="4BB1B94F">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
          <w:bCs/>
          <w:color w:val="000000" w:themeColor="text1"/>
          <w:sz w:val="28"/>
          <w:szCs w:val="28"/>
          <w:lang w:val="kk-KZ"/>
          <w14:textFill>
            <w14:solidFill>
              <w14:schemeClr w14:val="tx1"/>
            </w14:solidFill>
          </w14:textFill>
        </w:rPr>
        <w:t>Диссертация мазмұны.</w:t>
      </w: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 Кіріспеде зерттеу тақырыбының өзектілігі негізделген; мақсат, нысан, пән, болжам және міндеттер тұжырымдалған; әдіснамалық-теориялық негіздер, зерттеу әдістері мен кезеңдері, ғылыми жаңалығы, теориялық және практикалық маңыздылығы, қорғауға ұсынылатын қағидалар, сондай-ақ нәтижелердің дәлелдігі баяндалған.</w:t>
      </w:r>
    </w:p>
    <w:p w14:paraId="71F5E7F1">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
          <w:bCs/>
          <w:color w:val="000000" w:themeColor="text1"/>
          <w:sz w:val="28"/>
          <w:szCs w:val="28"/>
          <w:lang w:val="kk-KZ"/>
          <w14:textFill>
            <w14:solidFill>
              <w14:schemeClr w14:val="tx1"/>
            </w14:solidFill>
          </w14:textFill>
        </w:rPr>
        <w:t>«Оқытуда геймификация элементтерін қолданудың ғылыми-теориялық негіздері»</w:t>
      </w: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 атты бірінші бөлімде геймификация ұғымының ғылыми-теориялық және педагогикалық негіздері, оқытуда геймификация элементтерін қолданудың жіктемелері мен маңыздылығы, геймификация элементтерінің оқу мотивациясына және кәсіби құзыреттілікті қалыптастыруға әсері қарастырылған.</w:t>
      </w:r>
    </w:p>
    <w:p w14:paraId="446D40FD">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
          <w:bCs/>
          <w:color w:val="000000" w:themeColor="text1"/>
          <w:sz w:val="28"/>
          <w:szCs w:val="28"/>
          <w:lang w:val="kk-KZ"/>
          <w14:textFill>
            <w14:solidFill>
              <w14:schemeClr w14:val="tx1"/>
            </w14:solidFill>
          </w14:textFill>
        </w:rPr>
        <w:t>«Болашақ информатика мұғалімдерін оқытуда геймификация элементтерін қолданудың әдістемелік негіздері»</w:t>
      </w: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 атты екінші бөлімде оқытуда геймификация элементтерін қолданудың әдістемелік </w:t>
      </w:r>
      <w:r>
        <w:rPr>
          <w:rFonts w:ascii="Times New Roman" w:hAnsi="Times New Roman" w:cs="Times New Roman"/>
          <w:color w:val="000000" w:themeColor="text1"/>
          <w:sz w:val="28"/>
          <w:szCs w:val="28"/>
          <w:lang w:val="kk-KZ"/>
          <w14:textFill>
            <w14:solidFill>
              <w14:schemeClr w14:val="tx1"/>
            </w14:solidFill>
          </w14:textFill>
        </w:rPr>
        <w:t xml:space="preserve">ерекшеліктері, </w:t>
      </w:r>
      <w:r>
        <w:rPr>
          <w:rFonts w:ascii="Times New Roman" w:hAnsi="Times New Roman" w:cs="Times New Roman" w:eastAsiaTheme="majorEastAsia"/>
          <w:bCs/>
          <w:color w:val="000000" w:themeColor="text1"/>
          <w:sz w:val="28"/>
          <w:szCs w:val="28"/>
          <w:lang w:val="kk-KZ"/>
          <w14:textFill>
            <w14:solidFill>
              <w14:schemeClr w14:val="tx1"/>
            </w14:solidFill>
          </w14:textFill>
        </w:rPr>
        <w:t>принциптері мен педагогикалық шарттары, болашақ информатика мұғалімдерін оқытуда геймификация элементтерін қолданудың моделі, геймификация элементтерін қолдану негізінде болашақ информатика мұғалімдерін оқыту әдістемесі ұсынылған.</w:t>
      </w:r>
    </w:p>
    <w:p w14:paraId="77F0970E">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
          <w:bCs/>
          <w:color w:val="000000" w:themeColor="text1"/>
          <w:sz w:val="28"/>
          <w:szCs w:val="28"/>
          <w:lang w:val="kk-KZ"/>
          <w14:textFill>
            <w14:solidFill>
              <w14:schemeClr w14:val="tx1"/>
            </w14:solidFill>
          </w14:textFill>
        </w:rPr>
        <w:t>«Педагогикалық эксперимент және оның нәтижелері»</w:t>
      </w: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 атты үшінші бөлімде педагогикалық эксперименттің кезеңдері және мазмұны баяндалып, эксперимент нәтижелері талданған.</w:t>
      </w:r>
      <w:r>
        <w:rPr>
          <w:rFonts w:ascii="Times New Roman" w:hAnsi="Times New Roman" w:cs="Times New Roman"/>
          <w:color w:val="000000" w:themeColor="text1"/>
          <w:sz w:val="28"/>
          <w:szCs w:val="28"/>
          <w:lang w:val="kk-KZ"/>
          <w14:textFill>
            <w14:solidFill>
              <w14:schemeClr w14:val="tx1"/>
            </w14:solidFill>
          </w14:textFill>
        </w:rPr>
        <w:t xml:space="preserve"> </w:t>
      </w:r>
    </w:p>
    <w:p w14:paraId="3E7AB964">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
          <w:bCs/>
          <w:color w:val="000000" w:themeColor="text1"/>
          <w:sz w:val="28"/>
          <w:szCs w:val="28"/>
          <w:lang w:val="kk-KZ"/>
          <w14:textFill>
            <w14:solidFill>
              <w14:schemeClr w14:val="tx1"/>
            </w14:solidFill>
          </w14:textFill>
        </w:rPr>
        <w:t>Қорытындыда</w:t>
      </w: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 зерттеудің негізгі нәтижелері ұсынылған және жарияланған еңбектер тізімі берілген.</w:t>
      </w:r>
    </w:p>
    <w:p w14:paraId="7A3AB764">
      <w:pPr>
        <w:tabs>
          <w:tab w:val="left" w:pos="1227"/>
        </w:tabs>
        <w:spacing w:after="0" w:line="240" w:lineRule="auto"/>
        <w:ind w:firstLine="709"/>
        <w:jc w:val="both"/>
        <w:rPr>
          <w:rFonts w:ascii="Times New Roman" w:hAnsi="Times New Roman" w:cs="Times New Roman" w:eastAsiaTheme="majorEastAsia"/>
          <w:bCs/>
          <w:color w:val="000000" w:themeColor="text1"/>
          <w:sz w:val="28"/>
          <w:szCs w:val="28"/>
          <w:lang w:val="kk-KZ"/>
          <w14:textFill>
            <w14:solidFill>
              <w14:schemeClr w14:val="tx1"/>
            </w14:solidFill>
          </w14:textFill>
        </w:rPr>
      </w:pPr>
      <w:r>
        <w:rPr>
          <w:rFonts w:ascii="Times New Roman" w:hAnsi="Times New Roman" w:cs="Times New Roman" w:eastAsiaTheme="majorEastAsia"/>
          <w:b/>
          <w:bCs/>
          <w:color w:val="000000" w:themeColor="text1"/>
          <w:sz w:val="28"/>
          <w:szCs w:val="28"/>
          <w:lang w:val="kk-KZ"/>
          <w14:textFill>
            <w14:solidFill>
              <w14:schemeClr w14:val="tx1"/>
            </w14:solidFill>
          </w14:textFill>
        </w:rPr>
        <w:t>Қосымшада</w:t>
      </w:r>
      <w:r>
        <w:rPr>
          <w:rFonts w:ascii="Times New Roman" w:hAnsi="Times New Roman" w:cs="Times New Roman" w:eastAsiaTheme="majorEastAsia"/>
          <w:bCs/>
          <w:color w:val="000000" w:themeColor="text1"/>
          <w:sz w:val="28"/>
          <w:szCs w:val="28"/>
          <w:lang w:val="kk-KZ"/>
          <w14:textFill>
            <w14:solidFill>
              <w14:schemeClr w14:val="tx1"/>
            </w14:solidFill>
          </w14:textFill>
        </w:rPr>
        <w:t xml:space="preserve"> диссертациялық жұмыстың негізгі мазмұнына кірмеген материалдар, зерттеу барысында қолданылған материалдар, сауалнамалар, нәтижелерді енгізу актілері және авторлық куәліктер ұсынылған.</w:t>
      </w:r>
    </w:p>
    <w:p w14:paraId="6B1D2EE9">
      <w:pPr>
        <w:spacing w:after="0" w:line="240" w:lineRule="auto"/>
        <w:rPr>
          <w:rFonts w:ascii="Times New Roman" w:hAnsi="Times New Roman" w:cs="Times New Roman"/>
          <w:lang w:val="kk-KZ"/>
        </w:rPr>
      </w:pPr>
    </w:p>
    <w:p w14:paraId="4EA8814B">
      <w:pPr>
        <w:spacing w:after="0" w:line="240" w:lineRule="auto"/>
        <w:rPr>
          <w:rFonts w:ascii="Times New Roman" w:hAnsi="Times New Roman" w:cs="Times New Roman"/>
          <w:lang w:val="kk-KZ"/>
        </w:rPr>
      </w:pPr>
    </w:p>
    <w:p w14:paraId="48C4B5B7">
      <w:pPr>
        <w:spacing w:after="0" w:line="240" w:lineRule="auto"/>
        <w:rPr>
          <w:rFonts w:ascii="Times New Roman" w:hAnsi="Times New Roman" w:cs="Times New Roman"/>
          <w:lang w:val="kk-KZ"/>
        </w:rPr>
      </w:pPr>
    </w:p>
    <w:p w14:paraId="0BA2BD0D">
      <w:pPr>
        <w:spacing w:after="0" w:line="240" w:lineRule="auto"/>
        <w:rPr>
          <w:rFonts w:ascii="Times New Roman" w:hAnsi="Times New Roman" w:cs="Times New Roman"/>
          <w:lang w:val="kk-KZ"/>
        </w:rPr>
      </w:pPr>
    </w:p>
    <w:p w14:paraId="423CDAB0">
      <w:pPr>
        <w:spacing w:after="0" w:line="240" w:lineRule="auto"/>
        <w:rPr>
          <w:rFonts w:ascii="Times New Roman" w:hAnsi="Times New Roman" w:cs="Times New Roman"/>
          <w:lang w:val="kk-KZ"/>
        </w:rPr>
      </w:pPr>
    </w:p>
    <w:p w14:paraId="7E257F0F">
      <w:pPr>
        <w:spacing w:after="0" w:line="240" w:lineRule="auto"/>
        <w:rPr>
          <w:rFonts w:ascii="Times New Roman" w:hAnsi="Times New Roman" w:cs="Times New Roman"/>
          <w:lang w:val="kk-KZ"/>
        </w:rPr>
      </w:pPr>
    </w:p>
    <w:p w14:paraId="22AD7202">
      <w:pPr>
        <w:spacing w:after="0" w:line="240" w:lineRule="auto"/>
        <w:rPr>
          <w:rFonts w:ascii="Times New Roman" w:hAnsi="Times New Roman" w:cs="Times New Roman"/>
          <w:lang w:val="kk-KZ"/>
        </w:rPr>
      </w:pPr>
    </w:p>
    <w:p w14:paraId="7F153D30">
      <w:pPr>
        <w:spacing w:after="0" w:line="240" w:lineRule="auto"/>
        <w:rPr>
          <w:rFonts w:ascii="Times New Roman" w:hAnsi="Times New Roman" w:cs="Times New Roman"/>
          <w:lang w:val="kk-KZ"/>
        </w:rPr>
      </w:pPr>
    </w:p>
    <w:p w14:paraId="58AFEED5">
      <w:pPr>
        <w:spacing w:after="0" w:line="240" w:lineRule="auto"/>
        <w:rPr>
          <w:rFonts w:ascii="Times New Roman" w:hAnsi="Times New Roman" w:cs="Times New Roman"/>
          <w:lang w:val="kk-KZ"/>
        </w:rPr>
      </w:pPr>
    </w:p>
    <w:p w14:paraId="1399F03D">
      <w:pPr>
        <w:spacing w:after="0" w:line="240" w:lineRule="auto"/>
        <w:rPr>
          <w:rFonts w:ascii="Times New Roman" w:hAnsi="Times New Roman" w:cs="Times New Roman"/>
          <w:lang w:val="kk-KZ"/>
        </w:rPr>
      </w:pPr>
    </w:p>
    <w:p w14:paraId="2B1B733F">
      <w:pPr>
        <w:spacing w:after="0" w:line="240" w:lineRule="auto"/>
        <w:rPr>
          <w:rFonts w:ascii="Times New Roman" w:hAnsi="Times New Roman" w:cs="Times New Roman"/>
          <w:lang w:val="kk-KZ"/>
        </w:rPr>
      </w:pPr>
    </w:p>
    <w:p w14:paraId="72915A00">
      <w:pPr>
        <w:spacing w:after="0" w:line="240" w:lineRule="auto"/>
        <w:rPr>
          <w:rFonts w:ascii="Times New Roman" w:hAnsi="Times New Roman" w:cs="Times New Roman"/>
          <w:lang w:val="kk-KZ"/>
        </w:rPr>
      </w:pPr>
    </w:p>
    <w:p w14:paraId="5CF840E1">
      <w:pPr>
        <w:spacing w:after="0" w:line="240" w:lineRule="auto"/>
        <w:rPr>
          <w:rFonts w:ascii="Times New Roman" w:hAnsi="Times New Roman" w:cs="Times New Roman"/>
          <w:lang w:val="kk-KZ"/>
        </w:rPr>
      </w:pPr>
    </w:p>
    <w:p w14:paraId="22788835">
      <w:pPr>
        <w:spacing w:after="0" w:line="240" w:lineRule="auto"/>
        <w:ind w:firstLine="72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br w:type="textWrapping"/>
      </w:r>
      <w:r>
        <w:rPr>
          <w:rFonts w:ascii="Times New Roman" w:hAnsi="Times New Roman" w:cs="Times New Roman"/>
          <w:b/>
          <w:bCs/>
          <w:color w:val="000000"/>
          <w:sz w:val="28"/>
          <w:szCs w:val="28"/>
          <w:lang w:val="ru-RU"/>
        </w:rPr>
        <w:br w:type="textWrapping"/>
      </w:r>
    </w:p>
    <w:p w14:paraId="32A8BB54">
      <w:pPr>
        <w:rPr>
          <w:rFonts w:ascii="Times New Roman" w:hAnsi="Times New Roman" w:cs="Times New Roman"/>
        </w:rPr>
      </w:pPr>
      <w:bookmarkStart w:id="0" w:name="_GoBack"/>
      <w:bookmarkEnd w:id="0"/>
    </w:p>
    <w:sectPr>
      <w:pgSz w:w="11906" w:h="16838"/>
      <w:pgMar w:top="709"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1E5019"/>
    <w:multiLevelType w:val="multilevel"/>
    <w:tmpl w:val="281E5019"/>
    <w:lvl w:ilvl="0" w:tentative="0">
      <w:start w:val="3"/>
      <w:numFmt w:val="bullet"/>
      <w:lvlText w:val="-"/>
      <w:lvlJc w:val="left"/>
      <w:pPr>
        <w:ind w:left="927" w:hanging="360"/>
      </w:pPr>
      <w:rPr>
        <w:rFonts w:hint="default" w:ascii="Times New Roman" w:hAnsi="Times New Roman" w:cs="Times New Roman" w:eastAsiaTheme="majorEastAsia"/>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1">
    <w:nsid w:val="79FC0F18"/>
    <w:multiLevelType w:val="multilevel"/>
    <w:tmpl w:val="79FC0F18"/>
    <w:lvl w:ilvl="0" w:tentative="0">
      <w:start w:val="3"/>
      <w:numFmt w:val="bullet"/>
      <w:lvlText w:val="-"/>
      <w:lvlJc w:val="left"/>
      <w:pPr>
        <w:ind w:left="4046" w:hanging="360"/>
      </w:pPr>
      <w:rPr>
        <w:rFonts w:hint="default" w:ascii="Times New Roman" w:hAnsi="Times New Roman" w:cs="Times New Roman" w:eastAsiaTheme="majorEastAsia"/>
      </w:rPr>
    </w:lvl>
    <w:lvl w:ilvl="1" w:tentative="0">
      <w:start w:val="1"/>
      <w:numFmt w:val="bullet"/>
      <w:lvlText w:val="—"/>
      <w:lvlJc w:val="left"/>
      <w:pPr>
        <w:ind w:left="2235" w:hanging="588"/>
      </w:pPr>
      <w:rPr>
        <w:rFonts w:hint="default" w:ascii="Times New Roman" w:hAnsi="Times New Roman" w:cs="Times New Roman" w:eastAsiaTheme="majorEastAsia"/>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C32"/>
    <w:rsid w:val="0001676F"/>
    <w:rsid w:val="000B4886"/>
    <w:rsid w:val="00135C9C"/>
    <w:rsid w:val="00146929"/>
    <w:rsid w:val="00456C32"/>
    <w:rsid w:val="006E690E"/>
    <w:rsid w:val="008B5AAE"/>
    <w:rsid w:val="00AA583B"/>
    <w:rsid w:val="00B308DB"/>
    <w:rsid w:val="00C855E7"/>
    <w:rsid w:val="00D5436C"/>
    <w:rsid w:val="7DF3553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spacing w:after="160" w:line="259" w:lineRule="auto"/>
      <w:ind w:left="720"/>
      <w:contextualSpacing/>
    </w:pPr>
    <w:rPr>
      <w:rFonts w:eastAsiaTheme="minorHAnsi"/>
      <w:kern w:val="2"/>
      <w:lang w:val="en-GB"/>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5904</Words>
  <Characters>49521</Characters>
  <Lines>639</Lines>
  <Paragraphs>180</Paragraphs>
  <TotalTime>40</TotalTime>
  <ScaleCrop>false</ScaleCrop>
  <LinksUpToDate>false</LinksUpToDate>
  <CharactersWithSpaces>55297</CharactersWithSpaces>
  <Application>WPS Office_12.1.0.26886_F1E327BC-269C-435d-A152-05C5408002CA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2026-06-26T07:09:00Z</dcterms:created>
  <dc:creator>Админ</dc:creator>
  <cp:lastModifiedBy>Админ</cp:lastModifiedBy>
  <cp:lastPrinted>2026-07-10T05:47:00Z</cp:lastPrinted>
  <dcterms:modified xsi:type="dcterms:W3CDTF">2026-07-16T14:52:50Z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eyJoZGlkIjoiYTcwNDRiZTM3YjgzZGVlNTZkYWUzODc2MDJlODY1YTcifQ==</vt:lpwstr>
  </property>
  <property fmtid="{D5CDD505-2E9C-101B-9397-08002B2CF9AE}" pid="3" name="KSOProductBuildVer">
    <vt:lpwstr>1049-12.1.0.26886</vt:lpwstr>
  </property>
  <property fmtid="{D5CDD505-2E9C-101B-9397-08002B2CF9AE}" pid="4" name="ICV">
    <vt:lpwstr>F3EB2A0C990C405D865F44C5E5EF2041_12</vt:lpwstr>
  </property>
</Properties>
</file>