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EB" w:rsidRPr="00691DCF" w:rsidRDefault="000B05EB" w:rsidP="000B05EB">
      <w:pPr>
        <w:ind w:firstLine="720"/>
        <w:jc w:val="center"/>
        <w:rPr>
          <w:sz w:val="28"/>
          <w:szCs w:val="28"/>
        </w:rPr>
      </w:pPr>
      <w:bookmarkStart w:id="0" w:name="_GoBack"/>
      <w:bookmarkEnd w:id="0"/>
      <w:r w:rsidRPr="00691DCF">
        <w:rPr>
          <w:b/>
          <w:bCs/>
          <w:color w:val="000000"/>
          <w:sz w:val="28"/>
          <w:szCs w:val="28"/>
        </w:rPr>
        <w:t>АННОТАЦИЯ</w:t>
      </w:r>
    </w:p>
    <w:p w:rsidR="00913096" w:rsidRPr="00691DCF" w:rsidRDefault="000B05EB" w:rsidP="000B05EB">
      <w:pPr>
        <w:ind w:firstLine="720"/>
        <w:jc w:val="both"/>
        <w:rPr>
          <w:sz w:val="28"/>
          <w:szCs w:val="28"/>
        </w:rPr>
      </w:pPr>
      <w:r w:rsidRPr="00691DCF">
        <w:rPr>
          <w:b/>
          <w:bCs/>
          <w:color w:val="000000"/>
          <w:sz w:val="28"/>
          <w:szCs w:val="28"/>
        </w:rPr>
        <w:t>Диссертаци</w:t>
      </w:r>
      <w:r w:rsidRPr="00691DCF">
        <w:rPr>
          <w:b/>
          <w:bCs/>
          <w:color w:val="000000"/>
          <w:sz w:val="28"/>
          <w:szCs w:val="28"/>
          <w:lang w:val="kk-KZ"/>
        </w:rPr>
        <w:t xml:space="preserve">онной работы Есейқызы Ұлжалғас </w:t>
      </w:r>
      <w:r w:rsidRPr="00691DCF">
        <w:rPr>
          <w:b/>
          <w:bCs/>
          <w:color w:val="000000"/>
          <w:sz w:val="28"/>
          <w:szCs w:val="28"/>
        </w:rPr>
        <w:t>на тему «Методические особенности применения элементов геймификации в обучении будущих учителей информатики», представленн</w:t>
      </w:r>
      <w:r w:rsidRPr="00691DCF">
        <w:rPr>
          <w:b/>
          <w:bCs/>
          <w:color w:val="000000"/>
          <w:sz w:val="28"/>
          <w:szCs w:val="28"/>
          <w:lang w:val="kk-KZ"/>
        </w:rPr>
        <w:t>ую</w:t>
      </w:r>
      <w:r w:rsidRPr="00691DCF">
        <w:rPr>
          <w:b/>
          <w:bCs/>
          <w:color w:val="000000"/>
          <w:sz w:val="28"/>
          <w:szCs w:val="28"/>
        </w:rPr>
        <w:t xml:space="preserve"> на соискание степени доктора философии (PhD) по образовательной программе 8D01504 – «Информатика»</w:t>
      </w:r>
    </w:p>
    <w:p w:rsidR="00913096" w:rsidRPr="00691DCF" w:rsidRDefault="000B05EB" w:rsidP="000B05EB">
      <w:pPr>
        <w:ind w:firstLine="720"/>
        <w:rPr>
          <w:sz w:val="28"/>
          <w:szCs w:val="28"/>
          <w:lang w:val="kk-KZ"/>
        </w:rPr>
      </w:pPr>
      <w:r w:rsidRPr="00691DCF">
        <w:rPr>
          <w:sz w:val="28"/>
          <w:szCs w:val="28"/>
          <w:lang w:val="kk-KZ"/>
        </w:rPr>
        <w:t xml:space="preserve">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Актуальность исследования.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  <w:lang w:val="kk-KZ"/>
        </w:rPr>
        <w:t xml:space="preserve">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Современное общество требует, чтобы будущие педагоги наряду с овладением предметными знаниями были профессионально компетентными личностями, способными применять полученные знания в конкретных педагогических ситуациях, работать в цифровой образовательной среде, эффективно организовывать содержание обучения и поддерживать активность и учебные достижения обучающихся. В высшем педагогическом образовании в качестве методологического ядра профессиональной подготовки утвердилась компетентностная парадигма. Эта парадигма связывает образовательный результат не с уровнем воспроизведения информации, а со способностью действовать в конкретной профессиональной ситуации. Поэтому подготовка будущих педагогов не ограничивается овладением предметными знаниями, а требует комплексного формирования способностей проектировать обучение в цифровой среде, организовывать деятельность обучающегося, оценивать образовательный результат и принимать профессиональные решения.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Актуальность данной проблемы обоснована нормативными документами Республики Казахстан. В частности, </w:t>
      </w:r>
      <w:r w:rsidRPr="00691DCF">
        <w:rPr>
          <w:color w:val="000000" w:themeColor="text1"/>
          <w:sz w:val="28"/>
          <w:szCs w:val="28"/>
        </w:rPr>
        <w:t>в Законе Республики Казахстан «Об образовании» в качестве одной из основных задач системы образования предусмотрены внедрение новых технологий обучения, информатизация образования и использование эффективных методов обучения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Концепции развития высшего образования и науки в Республике Казахстан на 2023–2029 годы развитие цифровой архитектуры высшего образования определено как одно из приоритетных направлений.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 данной Концепции обозначена необходимость модернизации образовательных программ, формирования компетенций, отвечающих запросам цифрового общества, и усиления активных, практико-ориентированных моделей обучения. Кроме того, рассмотрение в ней вопроса о создании интегрированных образовательных платформ, обеспечивающих адаптированный с применением геймификации и персонализации учебный процесс в высших учебных заведениях, свидетельствует о том, что геймификация признаётся актуальным педагогическим направлением на государственном уровне.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государственном общеобязательном стандарте высшего и послевузовского образования компетентность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характеризуется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как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>способность практически использовать в профессиональной деятельности знания, полученные в процессе обучения.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 Законе Республики Казахстан «О статусе педагога» в качестве одной из профессиональных обязанностей педагога на законодательном уровне закреплено непрерывное освоение инновационных технологий обучения, в том числе цифровых средств.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 данном Законе обязанность педагога связывается также с профессиональной деятельностью, направленной на развитие жизненных навыков, ключевых компетенций, способности к самостоятельной работе и творческого потенциала обучающихся. Это позволяет рассматривать педагога не только как преподавателя, но и как профессиональную личность, способствующую всестороннему развитию обучающегося.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Стратегические направления также конкретизируют эту задачу. В Послании Президента Республики Казахстан К.К.Токаева народу Казахстана от 2 сентября 2024 года была отмечена необходимость внедрения в школах и высших учебных заведениях программ, обучающих основам цифровой грамотности.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  <w:lang w:val="kk-KZ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Кроме того, в Послании 2025 года «Казахстан в эпоху искусственного интеллекта» вопрос взаимосвязанного развития науки, образования и инноваций был определён как государственный приоритет. В соответствии с Посланиями способность будущих педагогов на профессиональном уровне проектировать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 xml:space="preserve">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интерактивные платформы и цифровые среды обучения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 xml:space="preserve"> с использованием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искусственн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>ого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интеллект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 xml:space="preserve">а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становится конкретной задачей.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 xml:space="preserve">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Национальный план развития Республики Казахстан до 2029 года также относит к числу стратегических приоритетов государства повышение качества человеческого капитала, цифровую трансформацию системы образования и подготовку специалистов, способных эффективно использовать цифровые технологии. А Концепция развития искусственного интеллекта на 2024–2029 годы определяет в качестве конкретной задачи внедрение в систему образования интеллектуальных цифровых технологий, формирование персонализированных траекторий обучения и развитие цифровых компетенций.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Проблема профессиональной цифровой подготовки педагогов обоснована и на международном уровне посредством специальных документов. Рамка DigCompEdu трактует цифровую компетентность педагога не только как способность выполнять технические операции, но и как способность отбирать цифровые ресурсы, организовывать обучение, проводить оценивание и поддерживать самостоятельность обучающегося.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Стандарты ISTE также характеризуют педагога не только как пользователя цифровых технологий, но и как специалиста, проектирующего обучение, поддерживающего самостоятельное обучение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 xml:space="preserve">обучающегося, анализирующего образовательные результаты и направляющего к ответственному действию в цифровой среде.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документе UNESCO ICT Competency Framework for Teachers цифровая компетентность педагога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рассматривается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как способность эффективно интегрировать информационно-коммуникационные технологии в процесс обучения и преподавания, использовать цифровые образовательные ресурсы, развивать цифровую грамотность обучающихся и осознанно применять технологии в целях совершенствования профессиональной деятельности.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Указанные международные и национальные требования предъявляют высокие требования к профессиональной подготовке будущего учителя. Однако эти документы, хотя и отвечают преимущественно на вопрос «что необходимо сформировать?», не в полной мере решают методическую проблему «как это необходимо сформировать?». Чёткость нормативных требований не означает их автоматического превращения в учебную практику. Этот разрыв особенно отчётливо проявляется в области подготовки учителей информатики, поскольку предмет «информатика» требует не только теоретических знаний, но и основанного на деятельности цифрового, алгоритмического и проектного опыта.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Активное внедрение цифровых технологий требует пересмотра традиционных подходов к обучению и делает актуальным поиск новых педагогических методов организации учебного процесса. Одним из таких методов являются игровые методы, основанные на повышении учебной мотивации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обучающегося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 научной литературе игра описывается как многослойный феномен, охватывающий воспитательные, культурные, когнитивные и экзистенциальные смыслы. С психологической точки зрения Жан Пиаже рассматривал игру как естественный механизм интеллектуального развития ребёнка. В труде Ч.Конрадта «Организация работы в форме игры» предложена концепция повышения мотивации и продуктивности посредством внедрения в рабочий процесс элементов игры и соревновательности.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Казахстанские исследователи рассматривают игровые и интерактивные технологии как эффективное педагогическое средство, способствующее развитию профессиональных и цифровых компетенций будущих педагогов. Так, Ж.Амантай и Д.Ермаков отмечают, что в условиях высшего образования игры, кейсы и тренинги относятся к числу наиболее эффективных способов формирования у будущих специалистов таких важных навыков, как коммуникация, сотрудничество и критическое мышление.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После внедрения Болонского процесса и обновления программ начал возникать вопрос о внедрении в учебный процесс игровых элементов в новом формате. Поэтому для формирования будущих учителей как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 xml:space="preserve">профессиональных личностей игровые элементы всегда остаются актуальными. Посредством игровых элементов можно развивать такие ценности, как сотрудничество, ответственность, честность. Мастер-педагог всегда применял игровые элементы для повышения качества знаний.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Есть основания трактовать продолжение исторической связи между игрой и познанием как геймификацию. Геймификация </w:t>
      </w:r>
      <w:r w:rsidRPr="00691DCF">
        <w:rPr>
          <w:rFonts w:eastAsiaTheme="majorEastAsia"/>
          <w:bCs/>
          <w:color w:val="000000" w:themeColor="text1"/>
          <w:sz w:val="28"/>
          <w:szCs w:val="28"/>
          <w:lang w:val="kk-KZ"/>
        </w:rPr>
        <w:t>-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это междисциплинарное явление, проистекающее из историко-культурных, философских и психологических оснований феномена игры. В связи с этим важно внедрять элементы геймификации в учебный процесс не как внешнее игровое оформление, а как механизм постановки цели, этапизации, обратной связи, отображения прогресса и поддержки учебной мотивации.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Теоретические основы геймификации исследовали такие учёные, как С.Детердинг, Д.Диксон, Р.Халед, Л.Нэкли, К.Капп, К.Вербах и Д.Хантер, Ю.Хамари, Й.Койвисто, Х.Сарса, Д.Дичева и Г.Ангелова, К.Сиборн и Д.Фелс, А.Тода и др. Эти исследователи определили геймификацию как применение элементов «игрового дизайна» во внеигровой среде и изучили её влияние на учебную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мотивацию и активность.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исследовании психологических основ геймификации ведущее место занимают труды Э.Деси и Р.Райана, М.Чиксентмихайи, А.Бандуры,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В.Врума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Э.Локка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Г.Лэтэма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.С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веллера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П.Пинтрича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Д.Шунка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Р.Ландерса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М.Сейлера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Э.Меклера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 др. Эти исследования предложили понятия учебной мотивации, автономии, состояния потока, самоэффективности и когнитивной нагрузки в качестве теоретической базы, объясняющей эффективность геймифицированной среды.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 исследовании педагогических основ геймификации труды С.Детердинга, К.Вербаха, К.Каппа, С.Николсона, К.Хуотари, Ю.Хамари, Г.Зихермана, К.Каннингема, 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.М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акгонигал, Н.Уиттона и др. представляют собой важную теоретико-методологическую базу с точки зрения целенаправленного применения игровых элементов в образовательном процессе, повышения учебной активности, усиления участия обучающихся и достижения образовательных результатов.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Геймификация в данном контексте рассматривается как педагогический механизм, позволяющий смягчить ряд методических трудностей в подготовке будущих учителей информатики. Однако элементы геймификации сами по себе не повышают качество обучения. Они становятся результативными лишь в том случае, когда интегрированы в учебную цель, содержание, оценивание, обратную связь и учебную деятельность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обучающегося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. Поэтому основная проблема современного этапа состоит не в наличии или отсутствии элементов геймификации, а в степени их превращения в целостную методическую систему,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>направленную на развитие профессиональной подготовки будущего учителя.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международной научной литературе часто обсуждается риск ограничения геймификации лишь такими внешними элементами, как баллы, бейджи, рейтинг. Д.Дичева и др. показывают, что в практике высшего образования эти элементы применяются преимущественно, и обосновывают, что подобное сужение может оставить без внимания осмысленные задания, поэтапный прогресс и опыт принятия самостоятельных решений. Тем не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менее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Б.Хуан и К.Ф.Хью, оценивая элементы PBL как прагматический механизм усиления первоначальной вовлечённости, отмечают, что их нельзя полностью отвергать. Эти выводы показывают, что проблема не в самих баллах и бейджах, а в том, в какой педагогической логике и на какой образовательный результат они применяются.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С этой точки зрения особое значение приобретает принцип осмысленной геймификации, предложенный С.Николсоном.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Этот принцип предлагает рассматривать элементы геймификации не как средство внешнего стимулирования, а как педагогический дизайн, который осмысливает учебную деятельность обучающегося, предоставляет возможность выбора, сопровождается формативной обратной связью и связан с конкретным образовательным результатом. В условиях подготовки будущих учителей информатики этот принцип особенно важен, поскольку здесь геймификация должна формировать обучающегося не только как исполнителя учебного задания, но и как педагога, способного в будущем самостоятельно проектировать геймифицированную образовательную среду.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Вопросы подготовки будущих учителей в цифровой среде и применения технологий в педагогических целях исследовали Л. Шульман, М.Ниесс, 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.В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оогт и П. Фиссер, Дж.Тондёр, П.Эртмер и А.Оттенбрейт-Лефтвич, Дж.Винг, Ш.Гровер, К.Бреннан и М.Резник, М.Гуздиал, П.Мишра и М.Кёлер и др.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В казахстанском научном пространстве вопросы подготовки будущих учителей информатики, методики обучения информатике и цифровой педагогики исследовали Г.Нургалиева, Б.Баймуханов, Е.Артыкбаева, А.Тажигулова, Е.Бидайбеков, М.Серік, Ж.Нурбекова, Г.Салгараева, А.Сагымбаева, Б.Сыдыков, Г.Жарасова, Н.Оспанова, Д.Исабаева, К.Беркимбаев, Ж.Жалгасбекова, О.Оманова, М.Каратаева, Г.Омашова и др. Исследователи рассматривали в условиях Казахстана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вопросы профессиональной подготовки учителей информатики, организации цифровой образовательной среды, подготовки педагогов STEM-направления.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Казахстанские исследователи изучали связь между подготовкой будущих учителей информатики и геймификацией в нескольких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 xml:space="preserve">направлениях. А.Алжанов, Р.Ахитова, изучавшие подготовку учителей посредством цифровых технологий, обосновывают роль цифровых и интерактивных технологий в развитии профессиональной компетентности будущих учителей информатики. Авторы показывают, что интерактивные мобильные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кейс-технологии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способствуют развитию коммуникативных, творческих навыков и навыков решения проблем у будущих учителей информатики. Это доказывает, что цифровые технологии в профессиональной подготовке будущего учителя должны использоваться не только как техническое средство, но и как среда, организующая педагогическую деятельность.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Расширяя данное направление, А.Давлетова, Ж.Тулегенова и др. описывают возможности открытой образовательной среды в формировании цифровой культуры будущих педагогов. Указанные работы, дополняя друг друга, показывают, что цифровая подготовка является более широким феноменом, нежели овладение отдельными технологиями.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Специально остановившиеся на проблеме цифровой грамотности учителей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М.Темирханова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Г.Абильдинова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С.Каража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доказывают, что собственная цифровая подготовка педагога является предпосылкой формирования соответствующих компетенций обучающихся. В работах Р.Кадирбаевой, А.Давлетовой, Г.Абильдиновой, Ж.Жалгасбековой, С.Жолдасбековой, М.Каратаевой, Л.Жайдакбаевой комплексно рассмотрены проблемы цифровой образовательной среды, STEM-образования, профессиональной подготовки учителей информатики и развития цифровой компетентности педагогов. Кроме того, в исследованиях С.Сеитовой, Е.Смагулова и других учёных рассматриваются вопросы цифровой образовательной среды, STEM-образования, профессиональной подготовки учителей информатики и развития цифровой компетентности педагогов.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Н.Токжигитова, А.Садыкова, А.Токжигитова и Н.Оспанова рассматривают педагогические основы применения технологии геймификации в обучении предмету «информатика» и на конкретных примерах доказывают её положительное влияние на познавательную активность и учебную мотивацию обучающихся. Эти исследования дают теоретическое основание рассматривать геймификацию не только как развлекательное средство, но и как дидактический подход.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Кроме того, в работах С.Кенесбаева, А.Алжанова, Ж.Тулегеновой, А.Алдабергеновой, Н.Балтабаевой, К.Абдиева и других учёных рассматриваются вопросы применения цифровых и инновационных технологий в образовательном процессе.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Э.Абдыкеримова и Г.Калиева рассматривают геймификацию как эффективное педагогическое средство, повышающее учебную мотивацию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 xml:space="preserve">и познавательную активность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обучающихся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и систематизируют современные цифровые платформы, позволяющие её реализовать.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рассмотренных исследованиях геймификация оценивается преимущественно в контексте общего образования или повышения учебной мотивации. В результате изучения трудов учёных мы отметили, что применение геймификации в обучении рассмотрено и исследовано всесторонне. Тем не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менее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обоснование методических особенностей применения элементов геймификации в обучении будущих учителей информатики по-прежнему остаётся вопросом, требующим исследования. Эта проблема породила следующие 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противоречия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: </w:t>
      </w:r>
    </w:p>
    <w:p w:rsidR="00FE4E6C" w:rsidRPr="00691DCF" w:rsidRDefault="00FE4E6C" w:rsidP="00FE4E6C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между обилием современных цифровых ресурсов и необходимостью их применения в формировании профессиональной личности;</w:t>
      </w:r>
    </w:p>
    <w:p w:rsidR="00FE4E6C" w:rsidRPr="00691DCF" w:rsidRDefault="00FE4E6C" w:rsidP="00FE4E6C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между высоким потенциалом элементов геймификации в образовании и недостаточной систематизированностью научно-методического обоснования их применения будущими учителями информатики; </w:t>
      </w:r>
    </w:p>
    <w:p w:rsidR="00FE4E6C" w:rsidRPr="00691DCF" w:rsidRDefault="00FE4E6C" w:rsidP="00FE4E6C">
      <w:pPr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между необходимостью применения элементов геймификации в подготовке будущих педагогов и недостаточностью методики их применения.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Выявленные противоречия определили 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проблему исследования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следующим образом: в чём состоит методическая особенность применения элементов геймификации в обучении будущих учителей информатики и как она влияет на формирование профессиональной компетентности?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Это послужило основанием для определения темы данной исследовательской работы как 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«Методические особенности применения элементов геймификации в обучении будущих учителей информатики»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Цель исследования – </w:t>
      </w:r>
      <w:r w:rsidRPr="00691DCF">
        <w:rPr>
          <w:rFonts w:eastAsiaTheme="majorEastAsia"/>
          <w:color w:val="000000" w:themeColor="text1"/>
          <w:sz w:val="28"/>
          <w:szCs w:val="28"/>
        </w:rPr>
        <w:t>выявить методические особенности применения элементов геймификации в процессе подготовки будущих учителей информатики, разработать методику, направленную на формирование их профессиональной компетентности, и обосновать её эффективность посредством опытно-экспериментальной работы.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Объект исследования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: процесс обучения будущих учителей информатики в системе высшего педагогического образования.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Предмет исследования: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методика применения элементов геймификации в формировании профессиональной компетентности будущих учителей информатики.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Научная гипотеза исследования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: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proofErr w:type="gramStart"/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Если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применение элементов геймификации в процессе подготовки будущих учителей информатики будет организовано на основе формата «двойной ролевой практики», позволяющего им одновременно осуществлять деятельность в качестве обучающегося и будущего педагога, 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то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их профессиональная компетентность повысится, 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потому что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такой формат интегрирует овладение предметными знаниями и педагогический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>опыт и поднимает обучающегося с уровня пассивного участника учебного процесса до уровня активного педагогического субъекта.</w:t>
      </w:r>
      <w:proofErr w:type="gramEnd"/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Задачи исследования: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на основе анализа психолого-педагогической и методической литературы определить теоретические основы применения элементов геймификации в подготовке будущих учителей информатики;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обосновать методические особенности, принципы и педагогические условия применения элементов геймификации в процессе подготовки будущих учителей информатики;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разработать модель применения элементов геймификации в обучении будущих учителей информатики и </w:t>
      </w:r>
      <w:r w:rsidRPr="00691DCF">
        <w:rPr>
          <w:rFonts w:eastAsiaTheme="majorEastAsia"/>
          <w:color w:val="000000" w:themeColor="text1"/>
          <w:sz w:val="28"/>
          <w:szCs w:val="28"/>
        </w:rPr>
        <w:t>методику, направленную на формирование профессиональной компетентности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проверить эффективность разработанной методики в ходе опытно-экспериментальной работы, проанализировать и оценить полученные результаты.</w:t>
      </w:r>
    </w:p>
    <w:p w:rsidR="00FE4E6C" w:rsidRPr="00691DCF" w:rsidRDefault="00FE4E6C" w:rsidP="00FE4E6C">
      <w:pPr>
        <w:tabs>
          <w:tab w:val="left" w:pos="142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 соответствии с целью и задачами исследования были использованы следующие методы исследования:  </w:t>
      </w:r>
    </w:p>
    <w:p w:rsidR="00FE4E6C" w:rsidRPr="00691DCF" w:rsidRDefault="00FE4E6C" w:rsidP="00FE4E6C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i/>
          <w:color w:val="000000" w:themeColor="text1"/>
          <w:sz w:val="28"/>
          <w:szCs w:val="28"/>
        </w:rPr>
        <w:t>теоретические методы исследования</w:t>
      </w:r>
      <w:r w:rsidRPr="00691DCF">
        <w:rPr>
          <w:rFonts w:eastAsiaTheme="majorEastAsia"/>
          <w:b/>
          <w:bCs/>
          <w:i/>
          <w:color w:val="000000" w:themeColor="text1"/>
          <w:sz w:val="28"/>
          <w:szCs w:val="28"/>
        </w:rPr>
        <w:t>: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систематический обзор, анализ, обобщение, систематизация педагогической, психологической, методической и научно-технической литературы, изучение нормативных документов, классификация элементов геймификации, моделирование;</w:t>
      </w:r>
    </w:p>
    <w:p w:rsidR="00FE4E6C" w:rsidRPr="00691DCF" w:rsidRDefault="00FE4E6C" w:rsidP="00FE4E6C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i/>
          <w:color w:val="000000" w:themeColor="text1"/>
          <w:sz w:val="28"/>
          <w:szCs w:val="28"/>
        </w:rPr>
        <w:t>социологические методы исследования: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анкетирование, тестирование, взаимное (коллегиальное) оценивание, проведённые с преподавателями и будущими учителями информатики;</w:t>
      </w:r>
    </w:p>
    <w:p w:rsidR="00FE4E6C" w:rsidRPr="00691DCF" w:rsidRDefault="00FE4E6C" w:rsidP="00FE4E6C">
      <w:pPr>
        <w:numPr>
          <w:ilvl w:val="0"/>
          <w:numId w:val="2"/>
        </w:numPr>
        <w:tabs>
          <w:tab w:val="left" w:pos="567"/>
        </w:tabs>
        <w:ind w:left="0" w:firstLine="284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i/>
          <w:color w:val="000000" w:themeColor="text1"/>
          <w:sz w:val="28"/>
          <w:szCs w:val="28"/>
        </w:rPr>
        <w:t>эмпирические методы исследования: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проверка научной гипотезы посредством педагогического эксперимента, сбор, обработка и анализ данных статистическими методами.</w:t>
      </w:r>
    </w:p>
    <w:p w:rsidR="00FE4E6C" w:rsidRPr="00691DCF" w:rsidRDefault="00FE4E6C" w:rsidP="00FE4E6C">
      <w:pPr>
        <w:tabs>
          <w:tab w:val="left" w:pos="567"/>
        </w:tabs>
        <w:ind w:left="284"/>
        <w:jc w:val="both"/>
        <w:rPr>
          <w:rFonts w:eastAsiaTheme="majorEastAsia"/>
          <w:b/>
          <w:bCs/>
          <w:i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i/>
          <w:color w:val="000000" w:themeColor="text1"/>
          <w:sz w:val="28"/>
          <w:szCs w:val="28"/>
        </w:rPr>
        <w:tab/>
        <w:t>Теоретико-методологические основы исследования: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Психолого-педагогические основы исследования составляют теория деятельности А.Н. Леонтьева, концепция зоны ближайшего развития Л.С. Выготского,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br/>
        <w:t xml:space="preserve">теория поэтапного формирования умственных действий П.Я.Гальперина и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Н.Ф.Талызиной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теория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самодетерминации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Э.Деси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Р.Райана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>,</w:t>
      </w:r>
      <w:r w:rsidR="00E4230C">
        <w:rPr>
          <w:rFonts w:eastAsiaTheme="majorEastAsia"/>
          <w:bCs/>
          <w:color w:val="000000" w:themeColor="text1"/>
          <w:sz w:val="28"/>
          <w:szCs w:val="28"/>
          <w:lang w:val="kk-KZ"/>
        </w:rPr>
        <w:t xml:space="preserve">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концепция состояния потока М. Чиксентмихайи, теория самоэффективности А.Бандуры, теория ожиданий В.Врума, таксономия Б.Блума и теория когнитивной нагрузки 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.С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веллера.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Основы теории геймификации опираются на труды С.Детердинга, Д.Диксона, Р.Халеда, Л.Нэкли, К.Каппа, К. Вербаха, Д. Хантера, Ю.-К.Чоу, Ю.Хамари, Й.Койвисто, Х.Сарсы, Г. Зихермана, 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.М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акгонигал и других исследователей. В этих трудах геймификация рассматривается как применение элементов игрового дизайна во внеигровой среде, средство повышения мотивации обучающихся, усиления их активности и результативной организации учебного процесса.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>В качестве теоретической опоры применения технологий в педагогических целях при подготовке будущих учителей информатики были взяты концепция педагогического содержательного знания Л. Шульмана, модель TPACK П.Мишры и М.Кёлера, а также исследования Дж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.Т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ондёра, П.Эртмера, А.Оттенбрейт-Лефтвич, Дж.Воогта, П.Фиссера, Дж.Винг, Ш.Гровер, К.Бреннан, М.Резника и М.Гуздиала по цифровой педагогике, вычислительному мышлению и интеграции технологий в образовательный процесс.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Концептуальные основы информатизации и цифровизации высшего педагогического образования опираются на труды И.В.Роберт, Е.Ю.Бидайбекова, В.В.Гриншкуна, Г.К.Нургалиевой. Вопросы профессиональной подготовки будущих учителей информатики в условиях Казахстана, методики обучения информатике, формирования цифровой образовательной среды и развития цифровой компетентности педагогов рассмотрены в трудах Р.Кадирбаевой, А.И.Тажигуловой, Ш.Т.Шекербековой, Ж.Нурбековой, Н.Оспановой, К.Беркимбаева, Г.Абильдиновой, А.Давлетовой и других отечественных учёных.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i/>
          <w:color w:val="000000" w:themeColor="text1"/>
          <w:sz w:val="28"/>
          <w:szCs w:val="28"/>
        </w:rPr>
        <w:t>Источники исследования:</w:t>
      </w:r>
      <w:r w:rsidRPr="00691DCF">
        <w:rPr>
          <w:color w:val="000000" w:themeColor="text1"/>
          <w:sz w:val="28"/>
          <w:szCs w:val="28"/>
        </w:rPr>
        <w:t xml:space="preserve">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Нормативно-правовую и источниковедческую основу исследования составляют Закон Республики Казахстан «Об образовании», Закон Республики Казахстан «О статусе педагога», Концепция развития высшего образования и науки в Республике Казахстан на 2023–2029 годы, Концепция развития дошкольного, среднего, технического и профессионального образования в Республике Казахстан на 2023–2029 годы, государственный общеобязательный стандарт высшего и послевузовского образования, Концепция развития искусственного интеллекта в Республике Казахстан на 2024–2029 годы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>, Послания Президента Республики Казахстан народу Казахстана, а также философские, психологические, педагогические научные труды, учебно-методическая литература, силлабусы, справочники и словари, посвящённые вопросам цифровых технологий, образования и геймификации, и личный исследовательский опыт автора.</w:t>
      </w:r>
    </w:p>
    <w:p w:rsidR="00FE4E6C" w:rsidRPr="00691DCF" w:rsidRDefault="00FE4E6C" w:rsidP="00FE4E6C">
      <w:pPr>
        <w:tabs>
          <w:tab w:val="left" w:pos="709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Научная новизна исследования: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на основе анализа психолого-педагогической и методической литературы определены теоретические основы применения элементов геймификации в подготовке будущих учителей информатики;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обоснованы методические особенности, принципы и педагогические условия применения элементов геймификации в процессе подготовки будущих учителей информатики;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разработана модель применения элементов геймификации в обучении будущих учителей информатики;</w:t>
      </w:r>
    </w:p>
    <w:p w:rsidR="00FE4E6C" w:rsidRPr="00691DCF" w:rsidRDefault="00FE4E6C" w:rsidP="00FE4E6C">
      <w:pPr>
        <w:pStyle w:val="a4"/>
        <w:numPr>
          <w:ilvl w:val="0"/>
          <w:numId w:val="2"/>
        </w:numPr>
        <w:tabs>
          <w:tab w:val="left" w:pos="567"/>
        </w:tabs>
        <w:ind w:left="0" w:firstLine="426"/>
        <w:contextualSpacing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разработана методика применения элементов геймификации, направленная на формирование профессиональной компетентности и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>основанная на формате «двойной ролевой практики», и её эффективность проверена посредством педагогического эксперимента.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Теоретическая значимость исследования: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расширено научное представление о дидактическом потенциале элементов геймификации в системе высшего педагогического образования и дано определение понятия геймификации; разработана научно-методическая основа применения элементов геймификации в контексте профессиональной подготовки будущих учителей информатики; разработана методика геймифицированного обучения, опирающаяся на формат «двойной ролевой практики».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Практическая значимость исследования: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модель применения элементов геймификации в обучении будущих учителей информатики может служить методической помощью преподавателям.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Силлабус дисциплины «Введение в программирование» с заданиями СРОП, интегрированными с элементами геймификации, внедрён в учебный процесс образовательной программы «Информатика».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Авторскую платформу Blockland.kz можно использовать в преподавании курсов программирования. В образовательную программу «Информатика» (2026 год) добавлен элективный курс «Основы программирования в среде Blockly».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Достоверность и обоснованность результатов исследования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обеспечиваются анализом научной и учебно-методической литературы; применением теоретических и экспериментальных методов; статистической обработкой полученных результатов.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Основные положения, выносимые на защиту: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1. Применение элементов геймификации в подготовке будущих учителей информатики должно опираться на единство психолого-педагогических и методических основ, направленных на повышение учебной мотивации, усиление познавательной активности и формирование профессиональных компетенций обучающихся;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2. Эффективность применения элементов геймификации определяется обоснованием их методических особенностей и принципов в соответствии с целью и содержанием профессиональной подготовки будущих учителей информатики и обеспечением необходимых педагогических условий;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3. Эффективность применения элементов геймификации в процессе подготовки будущих учителей информатики обеспечивается единством структурно-функциональной модели, направленной на формирование профессиональной компетентности, и реализующей её методики;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4. Методика применения элементов геймификации, основанная на формате «двойной ролевой практики», оказывает положительное влияние на профессиональную подготовку будущих учителей информатики.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База исследования: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lastRenderedPageBreak/>
        <w:t xml:space="preserve">Экспериментальное исследование проводилось в Жетысуском университете имени И. Жансугурова, Казахском национальном женском педагогическом университете и Каспийском университете технологий и инжиниринга имени Ш. Есенова.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Этапы исследования: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Исследование проводилось в период с 2023 по 2026 год в три этапа.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Первый этап (2023–2024) – теоретико-аналитический этап. На этом этапе был проведён систематический обзор научно-педагогической, психологической и методической литературы, в целях определения современного состояния применения элементов геймификации было проведено анкетирование среди преподавателей и обучающихся. Был определён научный аппарат исследования, сформулированы его цель, задачи, гипотеза, разработаны авторская педагогическая модель и теоретико-методические основы платформы Blockland.kz.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Второй этап (2024–2025) – опытно-экспериментальный этап.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На этом этапе на основе результатов, полученных на констатирующем и поисковом этапах, в учебный процесс была внедрена авторская методика, направленная на применение элементов геймификации.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Платформа Blockland.kz прошла апробацию, были проведены экспериментальные работы, направленные на определение уровней предметно-алгоритмической, педагогико-проектной и мотивационной подготовки будущих учителей информатики.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Третий этап (2025–2026) – итогово-оценочный этап. На этом этапе результаты педагогического эксперимента были обобщены, полученные данные обработаны и проанализированы математико-статистическими методами. Была определена степень подтверждения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гипотезы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исследования, оформлена диссертационная работа.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Апробация и внедрение результатов исследования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. Итоги и результаты исследования были изложены и обсуждены на методическом семинаре физико-математического факультета Жетысуского университета имени И. Жансугурова. Издано и внедрено в практику учебное пособие «Основы программирования в среде Blockly».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Результаты научно-исследовательской работы внедрены в учебный процесс Жетысуского университета имени И. Жансугурова, Казахского национального женского педагогического университета и Каспийского университета технологий и инжиниринга имени Ш. Есенова.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На основе платформы Blockland.kz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разработан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 внедрён в практику силлабус курса «Введение в программирование» для будущих учителей информатики с интегрированными элементами геймификации. В образовательную программу 6В01513 – Информатика (IP) (2026 год) добавлен элективный курс «Основы программирования в среде Blockly».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Кроме того, результаты исследования были реализованы посредством докладов на конференциях и семинарах.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lastRenderedPageBreak/>
        <w:t>Публикации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. </w:t>
      </w:r>
      <w:proofErr w:type="gramStart"/>
      <w:r w:rsidRPr="00691DCF">
        <w:rPr>
          <w:rFonts w:eastAsiaTheme="majorEastAsia"/>
          <w:bCs/>
          <w:color w:val="000000" w:themeColor="text1"/>
          <w:sz w:val="28"/>
          <w:szCs w:val="28"/>
        </w:rPr>
        <w:t>Основные результаты диссертации совместно с отечественными и зарубежными научными консультантами опубликованы в международном рецензируемом научном издании, индексируемом в базе данных Scopus, в журналах, включённых в перечень научных изданий, рекомендуемых Комитетом по обеспечению качества в сфере науки и высшего образования Министерства науки и высшего образования Республики Казахстан, и в материалах международной научно-практической конференции.</w:t>
      </w:r>
      <w:proofErr w:type="gram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По основному содержанию диссертации опубликовано 14 научных трудов: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1. Научные труды, опубликованные в изданиях</w:t>
      </w:r>
      <w:r w:rsidR="00E95F59">
        <w:rPr>
          <w:rFonts w:eastAsiaTheme="majorEastAsia"/>
          <w:bCs/>
          <w:color w:val="000000" w:themeColor="text1"/>
          <w:sz w:val="28"/>
          <w:szCs w:val="28"/>
        </w:rPr>
        <w:t xml:space="preserve"> базы Scopus – 1 (</w:t>
      </w:r>
      <w:proofErr w:type="spellStart"/>
      <w:r w:rsidR="00E95F59">
        <w:rPr>
          <w:rFonts w:eastAsiaTheme="majorEastAsia"/>
          <w:bCs/>
          <w:color w:val="000000" w:themeColor="text1"/>
          <w:sz w:val="28"/>
          <w:szCs w:val="28"/>
        </w:rPr>
        <w:t>процентиль</w:t>
      </w:r>
      <w:proofErr w:type="spellEnd"/>
      <w:r w:rsidR="00E95F59">
        <w:rPr>
          <w:rFonts w:eastAsiaTheme="majorEastAsia"/>
          <w:bCs/>
          <w:color w:val="000000" w:themeColor="text1"/>
          <w:sz w:val="28"/>
          <w:szCs w:val="28"/>
        </w:rPr>
        <w:t xml:space="preserve"> – </w:t>
      </w:r>
      <w:r w:rsidR="00E95F59" w:rsidRPr="00E95F59">
        <w:rPr>
          <w:rFonts w:eastAsiaTheme="majorEastAsia"/>
          <w:bCs/>
          <w:color w:val="000000" w:themeColor="text1"/>
          <w:sz w:val="28"/>
          <w:szCs w:val="28"/>
        </w:rPr>
        <w:t>73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, </w:t>
      </w:r>
      <w:proofErr w:type="spellStart"/>
      <w:r w:rsidRPr="00691DCF">
        <w:rPr>
          <w:rFonts w:eastAsiaTheme="majorEastAsia"/>
          <w:bCs/>
          <w:color w:val="000000" w:themeColor="text1"/>
          <w:sz w:val="28"/>
          <w:szCs w:val="28"/>
        </w:rPr>
        <w:t>Quartile</w:t>
      </w:r>
      <w:proofErr w:type="spellEnd"/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– Q2);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2. Научные труды, опубликованные в журналах, включённых в перечень научных изданий, рекомендуемых Комитетом по обеспечению качества в сфере науки и высшего образования Министерства науки и высшего образования Республики Казахстан – </w:t>
      </w:r>
      <w:r w:rsidR="00E95F59" w:rsidRPr="00E95F59">
        <w:rPr>
          <w:rFonts w:eastAsiaTheme="majorEastAsia"/>
          <w:bCs/>
          <w:color w:val="000000" w:themeColor="text1"/>
          <w:sz w:val="28"/>
          <w:szCs w:val="28"/>
        </w:rPr>
        <w:t>4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;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3. Научные труды, опубликованные в материалах международных научно-практических конференций – </w:t>
      </w:r>
      <w:r w:rsidR="00E95F59" w:rsidRPr="00F1188E">
        <w:rPr>
          <w:rFonts w:eastAsiaTheme="majorEastAsia"/>
          <w:bCs/>
          <w:color w:val="000000" w:themeColor="text1"/>
          <w:sz w:val="28"/>
          <w:szCs w:val="28"/>
        </w:rPr>
        <w:t>6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; 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4. Учебное пособие – 1; </w:t>
      </w:r>
    </w:p>
    <w:p w:rsidR="00FE4E6C" w:rsidRPr="00691DCF" w:rsidRDefault="00FE4E6C" w:rsidP="00FE4E6C">
      <w:pPr>
        <w:tabs>
          <w:tab w:val="left" w:pos="851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Cs/>
          <w:color w:val="000000" w:themeColor="text1"/>
          <w:sz w:val="28"/>
          <w:szCs w:val="28"/>
        </w:rPr>
        <w:t>5. Свидетельство о внесении сведений в государственный реестр объектов, охраняемых авторским правом – 2.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Структура диссертации.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Диссертационная работа состоит из введения, трёх разделов,</w:t>
      </w: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 xml:space="preserve">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заключения, списка использованной литературы и приложений.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Содержание диссертации.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Во введении обоснована актуальность темы исследования; сформулированы цель, объект, предмет, гипотеза и задачи; изложены методологическо-теоретические основы, методы и этапы исследования, научная новизна, теоретическая и практическая значимость, положения, выносимые на защиту, а также достоверность результатов.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В первом разделе «Научно-теоретические основы применения элементов геймификации в обучении»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рассмотрены научно-теоретические и педагогические основы понятия геймификации, классификации и значимость применения элементов геймификации в обучении, влияние элементов геймификации на учебную мотивацию и формирование профессиональной компетентности.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Во втором разделе «Методические основы применения элементов геймификации в обучении будущих учителей информатики»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представлены методические </w:t>
      </w:r>
      <w:r w:rsidRPr="00691DCF">
        <w:rPr>
          <w:color w:val="000000" w:themeColor="text1"/>
          <w:sz w:val="28"/>
          <w:szCs w:val="28"/>
        </w:rPr>
        <w:t xml:space="preserve">особенности, 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>принципы и педагогические условия применения элементов геймификации в обучении, модель применения элементов геймификации в обучении будущих учителей информатики, методика обучения будущих учителей информатики на основе применения элементов геймификации.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lastRenderedPageBreak/>
        <w:t>В третьем разделе «Педагогический эксперимент и его результаты»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изложены этапы и содержание педагогического эксперимента, проанализированы результаты эксперимента.</w:t>
      </w:r>
      <w:r w:rsidRPr="00691DCF">
        <w:rPr>
          <w:color w:val="000000" w:themeColor="text1"/>
          <w:sz w:val="28"/>
          <w:szCs w:val="28"/>
        </w:rPr>
        <w:t xml:space="preserve"> 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В заключении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представлены основные результаты исследования и приведён список опубликованных трудов.</w:t>
      </w:r>
    </w:p>
    <w:p w:rsidR="00FE4E6C" w:rsidRPr="00691DCF" w:rsidRDefault="00FE4E6C" w:rsidP="00FE4E6C">
      <w:pPr>
        <w:tabs>
          <w:tab w:val="left" w:pos="1227"/>
        </w:tabs>
        <w:ind w:firstLine="567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691DCF">
        <w:rPr>
          <w:rFonts w:eastAsiaTheme="majorEastAsia"/>
          <w:b/>
          <w:bCs/>
          <w:color w:val="000000" w:themeColor="text1"/>
          <w:sz w:val="28"/>
          <w:szCs w:val="28"/>
        </w:rPr>
        <w:t>В приложении</w:t>
      </w:r>
      <w:r w:rsidRPr="00691DCF">
        <w:rPr>
          <w:rFonts w:eastAsiaTheme="majorEastAsia"/>
          <w:bCs/>
          <w:color w:val="000000" w:themeColor="text1"/>
          <w:sz w:val="28"/>
          <w:szCs w:val="28"/>
        </w:rPr>
        <w:t xml:space="preserve"> представлены материалы, не вошедшие в основное содержание диссертационной работы, материалы, использованные в ходе исследования, анкеты, акты внедрения результатов и авторские свидетельства.</w:t>
      </w:r>
    </w:p>
    <w:p w:rsidR="00FE4E6C" w:rsidRPr="00691DCF" w:rsidRDefault="00FE4E6C" w:rsidP="00FE4E6C">
      <w:pPr>
        <w:tabs>
          <w:tab w:val="left" w:pos="1227"/>
        </w:tabs>
        <w:jc w:val="both"/>
        <w:rPr>
          <w:rFonts w:eastAsiaTheme="majorEastAsia"/>
          <w:bCs/>
          <w:color w:val="000000" w:themeColor="text1"/>
          <w:sz w:val="28"/>
          <w:szCs w:val="28"/>
        </w:rPr>
      </w:pPr>
    </w:p>
    <w:p w:rsidR="000B05EB" w:rsidRPr="00691DCF" w:rsidRDefault="000B05EB" w:rsidP="00FE4E6C">
      <w:pPr>
        <w:ind w:firstLine="720"/>
        <w:jc w:val="both"/>
        <w:rPr>
          <w:sz w:val="28"/>
          <w:szCs w:val="28"/>
        </w:rPr>
      </w:pPr>
    </w:p>
    <w:sectPr w:rsidR="000B05EB" w:rsidRPr="00691DCF">
      <w:pgSz w:w="11906" w:h="16838"/>
      <w:pgMar w:top="1440" w:right="108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E5019"/>
    <w:multiLevelType w:val="hybridMultilevel"/>
    <w:tmpl w:val="BFD0177A"/>
    <w:lvl w:ilvl="0" w:tplc="5008CB64">
      <w:start w:val="3"/>
      <w:numFmt w:val="bullet"/>
      <w:lvlText w:val="-"/>
      <w:lvlJc w:val="left"/>
      <w:pPr>
        <w:ind w:left="927" w:hanging="360"/>
      </w:pPr>
      <w:rPr>
        <w:rFonts w:ascii="Times New Roman" w:eastAsiaTheme="maj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8CA0B1C"/>
    <w:multiLevelType w:val="hybridMultilevel"/>
    <w:tmpl w:val="D2E66218"/>
    <w:lvl w:ilvl="0" w:tplc="9E407C48">
      <w:start w:val="1"/>
      <w:numFmt w:val="bullet"/>
      <w:lvlText w:val="●"/>
      <w:lvlJc w:val="left"/>
      <w:pPr>
        <w:ind w:left="720" w:hanging="360"/>
      </w:pPr>
    </w:lvl>
    <w:lvl w:ilvl="1" w:tplc="5A2495A2">
      <w:start w:val="1"/>
      <w:numFmt w:val="bullet"/>
      <w:lvlText w:val="○"/>
      <w:lvlJc w:val="left"/>
      <w:pPr>
        <w:ind w:left="1440" w:hanging="360"/>
      </w:pPr>
    </w:lvl>
    <w:lvl w:ilvl="2" w:tplc="0A2C86EE">
      <w:start w:val="1"/>
      <w:numFmt w:val="bullet"/>
      <w:lvlText w:val="■"/>
      <w:lvlJc w:val="left"/>
      <w:pPr>
        <w:ind w:left="2160" w:hanging="360"/>
      </w:pPr>
    </w:lvl>
    <w:lvl w:ilvl="3" w:tplc="ED708496">
      <w:start w:val="1"/>
      <w:numFmt w:val="bullet"/>
      <w:lvlText w:val="●"/>
      <w:lvlJc w:val="left"/>
      <w:pPr>
        <w:ind w:left="2880" w:hanging="360"/>
      </w:pPr>
    </w:lvl>
    <w:lvl w:ilvl="4" w:tplc="F56486A4">
      <w:start w:val="1"/>
      <w:numFmt w:val="bullet"/>
      <w:lvlText w:val="○"/>
      <w:lvlJc w:val="left"/>
      <w:pPr>
        <w:ind w:left="3600" w:hanging="360"/>
      </w:pPr>
    </w:lvl>
    <w:lvl w:ilvl="5" w:tplc="EA8C85AE">
      <w:start w:val="1"/>
      <w:numFmt w:val="bullet"/>
      <w:lvlText w:val="■"/>
      <w:lvlJc w:val="left"/>
      <w:pPr>
        <w:ind w:left="4320" w:hanging="360"/>
      </w:pPr>
    </w:lvl>
    <w:lvl w:ilvl="6" w:tplc="E2A44554">
      <w:start w:val="1"/>
      <w:numFmt w:val="bullet"/>
      <w:lvlText w:val="●"/>
      <w:lvlJc w:val="left"/>
      <w:pPr>
        <w:ind w:left="5040" w:hanging="360"/>
      </w:pPr>
    </w:lvl>
    <w:lvl w:ilvl="7" w:tplc="35F45734">
      <w:start w:val="1"/>
      <w:numFmt w:val="bullet"/>
      <w:lvlText w:val="●"/>
      <w:lvlJc w:val="left"/>
      <w:pPr>
        <w:ind w:left="5760" w:hanging="360"/>
      </w:pPr>
    </w:lvl>
    <w:lvl w:ilvl="8" w:tplc="C21051FC">
      <w:start w:val="1"/>
      <w:numFmt w:val="bullet"/>
      <w:lvlText w:val="●"/>
      <w:lvlJc w:val="left"/>
      <w:pPr>
        <w:ind w:left="6480" w:hanging="360"/>
      </w:pPr>
    </w:lvl>
  </w:abstractNum>
  <w:abstractNum w:abstractNumId="2">
    <w:nsid w:val="79FC0F18"/>
    <w:multiLevelType w:val="hybridMultilevel"/>
    <w:tmpl w:val="F1BA247E"/>
    <w:lvl w:ilvl="0" w:tplc="5008CB64">
      <w:start w:val="3"/>
      <w:numFmt w:val="bullet"/>
      <w:lvlText w:val="-"/>
      <w:lvlJc w:val="left"/>
      <w:pPr>
        <w:ind w:left="1494" w:hanging="360"/>
      </w:pPr>
      <w:rPr>
        <w:rFonts w:ascii="Times New Roman" w:eastAsiaTheme="majorEastAsia" w:hAnsi="Times New Roman" w:cs="Times New Roman" w:hint="default"/>
      </w:rPr>
    </w:lvl>
    <w:lvl w:ilvl="1" w:tplc="77127A80">
      <w:start w:val="1"/>
      <w:numFmt w:val="bullet"/>
      <w:lvlText w:val="—"/>
      <w:lvlJc w:val="left"/>
      <w:pPr>
        <w:ind w:left="2235" w:hanging="588"/>
      </w:pPr>
      <w:rPr>
        <w:rFonts w:ascii="Times New Roman" w:eastAsiaTheme="maj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13096"/>
    <w:rsid w:val="000B05EB"/>
    <w:rsid w:val="00691DCF"/>
    <w:rsid w:val="00913096"/>
    <w:rsid w:val="00AA525A"/>
    <w:rsid w:val="00E4230C"/>
    <w:rsid w:val="00E95F59"/>
    <w:rsid w:val="00F1188E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uiPriority w:val="34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24E81-5755-4438-9503-B70F13E5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4490</Words>
  <Characters>25595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Админ</cp:lastModifiedBy>
  <cp:revision>6</cp:revision>
  <cp:lastPrinted>2026-07-02T05:24:00Z</cp:lastPrinted>
  <dcterms:created xsi:type="dcterms:W3CDTF">2026-06-26T07:26:00Z</dcterms:created>
  <dcterms:modified xsi:type="dcterms:W3CDTF">2026-07-02T05:24:00Z</dcterms:modified>
</cp:coreProperties>
</file>